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A349D">
      <w:pPr>
        <w:pStyle w:val="5"/>
        <w:spacing w:line="240" w:lineRule="auto"/>
        <w:ind w:firstLine="0"/>
        <w:jc w:val="right"/>
        <w:rPr>
          <w:rStyle w:val="6"/>
          <w:sz w:val="20"/>
          <w:szCs w:val="20"/>
        </w:rPr>
      </w:pPr>
      <w:r>
        <w:rPr>
          <w:rStyle w:val="6"/>
          <w:sz w:val="20"/>
          <w:szCs w:val="20"/>
        </w:rPr>
        <w:t>Приложение 2</w:t>
      </w:r>
    </w:p>
    <w:p w14:paraId="16D0F83C">
      <w:pPr>
        <w:pStyle w:val="5"/>
        <w:spacing w:line="240" w:lineRule="auto"/>
        <w:ind w:firstLine="0"/>
        <w:jc w:val="right"/>
        <w:rPr>
          <w:rStyle w:val="6"/>
          <w:sz w:val="20"/>
          <w:szCs w:val="20"/>
        </w:rPr>
      </w:pPr>
      <w:r>
        <w:rPr>
          <w:rStyle w:val="6"/>
          <w:sz w:val="20"/>
          <w:szCs w:val="20"/>
        </w:rPr>
        <w:t xml:space="preserve"> к Распоряжению Администрации </w:t>
      </w:r>
    </w:p>
    <w:p w14:paraId="66AF2516">
      <w:pPr>
        <w:pStyle w:val="5"/>
        <w:spacing w:line="240" w:lineRule="auto"/>
        <w:ind w:firstLine="0"/>
        <w:jc w:val="right"/>
        <w:rPr>
          <w:rStyle w:val="6"/>
          <w:sz w:val="20"/>
          <w:szCs w:val="20"/>
        </w:rPr>
      </w:pPr>
      <w:r>
        <w:rPr>
          <w:rStyle w:val="6"/>
          <w:sz w:val="20"/>
          <w:szCs w:val="20"/>
        </w:rPr>
        <w:t>муниципального образования «</w:t>
      </w:r>
      <w:r>
        <w:rPr>
          <w:rStyle w:val="6"/>
          <w:sz w:val="20"/>
          <w:szCs w:val="20"/>
          <w:lang w:val="ru-RU"/>
        </w:rPr>
        <w:t>Тарбагатайский</w:t>
      </w:r>
      <w:r>
        <w:rPr>
          <w:rStyle w:val="6"/>
          <w:sz w:val="20"/>
          <w:szCs w:val="20"/>
        </w:rPr>
        <w:t xml:space="preserve"> район» </w:t>
      </w:r>
    </w:p>
    <w:p w14:paraId="5D74C8CE">
      <w:pPr>
        <w:ind w:right="-31"/>
        <w:jc w:val="right"/>
        <w:rPr>
          <w:rFonts w:hint="default"/>
          <w:sz w:val="20"/>
          <w:szCs w:val="20"/>
          <w:u w:val="single"/>
          <w:lang w:val="ru-RU"/>
        </w:rPr>
      </w:pPr>
      <w:r>
        <w:rPr>
          <w:rFonts w:hint="default"/>
          <w:sz w:val="20"/>
          <w:szCs w:val="20"/>
          <w:u w:val="single"/>
          <w:lang w:val="ru-RU"/>
        </w:rPr>
        <w:t>328</w:t>
      </w:r>
      <w:r>
        <w:rPr>
          <w:sz w:val="20"/>
          <w:szCs w:val="20"/>
          <w:u w:val="single"/>
        </w:rPr>
        <w:t xml:space="preserve">-р от </w:t>
      </w:r>
      <w:r>
        <w:rPr>
          <w:rFonts w:hint="default"/>
          <w:sz w:val="20"/>
          <w:szCs w:val="20"/>
          <w:u w:val="single"/>
          <w:lang w:val="ru-RU"/>
        </w:rPr>
        <w:t>08</w:t>
      </w:r>
      <w:r>
        <w:rPr>
          <w:sz w:val="20"/>
          <w:szCs w:val="20"/>
          <w:u w:val="single"/>
        </w:rPr>
        <w:t>.</w:t>
      </w:r>
      <w:r>
        <w:rPr>
          <w:rFonts w:hint="default"/>
          <w:sz w:val="20"/>
          <w:szCs w:val="20"/>
          <w:u w:val="single"/>
          <w:lang w:val="ru-RU"/>
        </w:rPr>
        <w:t>10</w:t>
      </w:r>
      <w:r>
        <w:rPr>
          <w:sz w:val="20"/>
          <w:szCs w:val="20"/>
          <w:u w:val="single"/>
        </w:rPr>
        <w:t>.202</w:t>
      </w:r>
      <w:r>
        <w:rPr>
          <w:rFonts w:hint="default"/>
          <w:sz w:val="20"/>
          <w:szCs w:val="20"/>
          <w:u w:val="single"/>
          <w:lang w:val="ru-RU"/>
        </w:rPr>
        <w:t>5</w:t>
      </w:r>
    </w:p>
    <w:p w14:paraId="1441BF1E">
      <w:pPr>
        <w:pStyle w:val="5"/>
        <w:spacing w:line="240" w:lineRule="auto"/>
        <w:ind w:firstLine="0"/>
        <w:jc w:val="right"/>
        <w:rPr>
          <w:rStyle w:val="6"/>
          <w:sz w:val="20"/>
          <w:szCs w:val="20"/>
        </w:rPr>
      </w:pPr>
    </w:p>
    <w:p w14:paraId="514229B5">
      <w:pPr>
        <w:pStyle w:val="7"/>
        <w:spacing w:after="220"/>
        <w:ind w:left="9680"/>
      </w:pPr>
    </w:p>
    <w:p w14:paraId="71AE7C2B">
      <w:pPr>
        <w:pStyle w:val="8"/>
        <w:keepNext/>
        <w:keepLines/>
        <w:rPr>
          <w:b w:val="0"/>
          <w:bCs w:val="0"/>
        </w:rPr>
      </w:pPr>
      <w:bookmarkStart w:id="0" w:name="bookmark2"/>
      <w:r>
        <w:rPr>
          <w:rStyle w:val="9"/>
          <w:b/>
          <w:bCs/>
        </w:rPr>
        <w:t>Карта (паспорт) комплаенс-рисков антимонопольного законодательства</w:t>
      </w:r>
      <w:r>
        <w:rPr>
          <w:rStyle w:val="9"/>
          <w:b/>
          <w:bCs/>
        </w:rPr>
        <w:br w:type="textWrapping"/>
      </w:r>
      <w:r>
        <w:rPr>
          <w:rStyle w:val="9"/>
          <w:b/>
          <w:bCs/>
        </w:rPr>
        <w:t>в муниципальном образовании «</w:t>
      </w:r>
      <w:r>
        <w:rPr>
          <w:rStyle w:val="9"/>
          <w:b/>
          <w:bCs/>
          <w:lang w:val="ru-RU"/>
        </w:rPr>
        <w:t>Тарбагатайский</w:t>
      </w:r>
      <w:r>
        <w:rPr>
          <w:rStyle w:val="9"/>
          <w:b/>
          <w:bCs/>
        </w:rPr>
        <w:t xml:space="preserve"> район»</w:t>
      </w:r>
      <w:r>
        <w:rPr>
          <w:rStyle w:val="9"/>
          <w:b/>
          <w:bCs/>
        </w:rPr>
        <w:br w:type="textWrapping"/>
      </w:r>
      <w:r>
        <w:rPr>
          <w:rStyle w:val="9"/>
          <w:b/>
          <w:bCs/>
        </w:rPr>
        <w:t>на 202</w:t>
      </w:r>
      <w:r>
        <w:rPr>
          <w:rStyle w:val="9"/>
          <w:rFonts w:hint="default"/>
          <w:b/>
          <w:bCs/>
          <w:lang w:val="ru-RU"/>
        </w:rPr>
        <w:t>5</w:t>
      </w:r>
      <w:r>
        <w:rPr>
          <w:rStyle w:val="9"/>
          <w:b/>
          <w:bCs/>
        </w:rPr>
        <w:t xml:space="preserve"> год</w:t>
      </w:r>
      <w:bookmarkEnd w:id="0"/>
    </w:p>
    <w:p w14:paraId="14615166">
      <w:pPr>
        <w:pStyle w:val="5"/>
        <w:spacing w:after="380" w:line="240" w:lineRule="auto"/>
        <w:ind w:firstLine="0"/>
        <w:jc w:val="center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4742"/>
        <w:gridCol w:w="4726"/>
      </w:tblGrid>
      <w:tr w14:paraId="3442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 w14:paraId="34558568">
            <w:pPr>
              <w:spacing w:after="0" w:line="240" w:lineRule="auto"/>
              <w:jc w:val="center"/>
            </w:pPr>
            <w:r>
              <w:rPr>
                <w:rStyle w:val="10"/>
                <w:rFonts w:eastAsiaTheme="minorHAnsi"/>
              </w:rPr>
              <w:t>Уровень риска</w:t>
            </w:r>
          </w:p>
        </w:tc>
        <w:tc>
          <w:tcPr>
            <w:tcW w:w="4853" w:type="dxa"/>
          </w:tcPr>
          <w:p w14:paraId="26002C2D">
            <w:pPr>
              <w:spacing w:after="0" w:line="240" w:lineRule="auto"/>
              <w:jc w:val="center"/>
            </w:pPr>
            <w:r>
              <w:rPr>
                <w:rStyle w:val="10"/>
                <w:rFonts w:eastAsiaTheme="minorHAnsi"/>
              </w:rPr>
              <w:t>Вид риска (описание)</w:t>
            </w:r>
          </w:p>
        </w:tc>
        <w:tc>
          <w:tcPr>
            <w:tcW w:w="4854" w:type="dxa"/>
          </w:tcPr>
          <w:p w14:paraId="1C04803C">
            <w:pPr>
              <w:spacing w:after="0" w:line="240" w:lineRule="auto"/>
              <w:jc w:val="center"/>
            </w:pPr>
            <w:r>
              <w:rPr>
                <w:rStyle w:val="10"/>
                <w:rFonts w:eastAsiaTheme="minorHAnsi"/>
              </w:rPr>
              <w:t>Причина и условие возникновения (описание)</w:t>
            </w:r>
          </w:p>
        </w:tc>
      </w:tr>
      <w:tr w14:paraId="47D2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 w14:paraId="5EA32432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Низкий уровень</w:t>
            </w:r>
          </w:p>
        </w:tc>
        <w:tc>
          <w:tcPr>
            <w:tcW w:w="4853" w:type="dxa"/>
          </w:tcPr>
          <w:p w14:paraId="5432AF58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Принятие муниципальных правовых актов, положения которых привели или могут привести к недопущению, ограничению или устранению конкуренции</w:t>
            </w:r>
          </w:p>
        </w:tc>
        <w:tc>
          <w:tcPr>
            <w:tcW w:w="4854" w:type="dxa"/>
          </w:tcPr>
          <w:p w14:paraId="5E0A7700">
            <w:pPr>
              <w:pStyle w:val="11"/>
              <w:numPr>
                <w:ilvl w:val="0"/>
                <w:numId w:val="1"/>
              </w:numPr>
              <w:tabs>
                <w:tab w:val="left" w:pos="110"/>
              </w:tabs>
            </w:pPr>
            <w:r>
              <w:rPr>
                <w:rStyle w:val="10"/>
              </w:rPr>
              <w:t>низкая квалификация сотрудников;</w:t>
            </w:r>
          </w:p>
          <w:p w14:paraId="61364D40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- незнание сотрудниками законодательства о защите конкуренции</w:t>
            </w:r>
          </w:p>
        </w:tc>
      </w:tr>
      <w:tr w14:paraId="6D95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 w14:paraId="253DC905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Незначительный уровень</w:t>
            </w:r>
          </w:p>
        </w:tc>
        <w:tc>
          <w:tcPr>
            <w:tcW w:w="4853" w:type="dxa"/>
          </w:tcPr>
          <w:p w14:paraId="25771985">
            <w:pPr>
              <w:pStyle w:val="11"/>
            </w:pPr>
            <w:r>
              <w:rPr>
                <w:rStyle w:val="10"/>
              </w:rPr>
              <w:t>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проведения торгов).</w:t>
            </w:r>
          </w:p>
          <w:p w14:paraId="4F16E44F">
            <w:pPr>
              <w:pStyle w:val="11"/>
            </w:pPr>
            <w:r>
              <w:rPr>
                <w:rStyle w:val="10"/>
              </w:rPr>
              <w:t>Подготовка отчетов на обращения физических и юридических лиц с нарушением срока, предусмотренного законодательством.</w:t>
            </w:r>
          </w:p>
          <w:p w14:paraId="6419991E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Предоставление обратившимся гражданам или юридическим лицам информации в приоритетном порядке</w:t>
            </w:r>
          </w:p>
        </w:tc>
        <w:tc>
          <w:tcPr>
            <w:tcW w:w="4854" w:type="dxa"/>
          </w:tcPr>
          <w:p w14:paraId="039D859D">
            <w:pPr>
              <w:pStyle w:val="11"/>
              <w:numPr>
                <w:ilvl w:val="0"/>
                <w:numId w:val="2"/>
              </w:numPr>
              <w:tabs>
                <w:tab w:val="left" w:pos="110"/>
              </w:tabs>
            </w:pPr>
            <w:r>
              <w:rPr>
                <w:rStyle w:val="10"/>
              </w:rPr>
              <w:t>низкая квалификация сотрудников;</w:t>
            </w:r>
          </w:p>
          <w:p w14:paraId="077F315A">
            <w:pPr>
              <w:pStyle w:val="11"/>
              <w:numPr>
                <w:ilvl w:val="0"/>
                <w:numId w:val="2"/>
              </w:numPr>
              <w:tabs>
                <w:tab w:val="left" w:pos="110"/>
              </w:tabs>
            </w:pPr>
            <w:r>
              <w:rPr>
                <w:rStyle w:val="10"/>
              </w:rPr>
              <w:t>отсутствие контроля со стороны руководителя;</w:t>
            </w:r>
          </w:p>
          <w:p w14:paraId="014F9DA9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- наличие не выявленного конфликта интересов</w:t>
            </w:r>
          </w:p>
        </w:tc>
      </w:tr>
      <w:tr w14:paraId="22C1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 w14:paraId="6BBA6C2F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Существенный уровень</w:t>
            </w:r>
          </w:p>
        </w:tc>
        <w:tc>
          <w:tcPr>
            <w:tcW w:w="4853" w:type="dxa"/>
          </w:tcPr>
          <w:p w14:paraId="51634A99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Создание необоснованных преимуществ юридическим и физическим лицам при предоставлении муниципальных преференций, проведении конкурсов на получение грантов, субсидий</w:t>
            </w:r>
          </w:p>
        </w:tc>
        <w:tc>
          <w:tcPr>
            <w:tcW w:w="4854" w:type="dxa"/>
          </w:tcPr>
          <w:p w14:paraId="3517D258">
            <w:pPr>
              <w:pStyle w:val="11"/>
              <w:numPr>
                <w:ilvl w:val="0"/>
                <w:numId w:val="3"/>
              </w:numPr>
              <w:tabs>
                <w:tab w:val="left" w:pos="110"/>
              </w:tabs>
            </w:pPr>
            <w:r>
              <w:rPr>
                <w:rStyle w:val="10"/>
              </w:rPr>
              <w:t>наличие не выявленного конфликта интересов;</w:t>
            </w:r>
          </w:p>
          <w:p w14:paraId="776893E7">
            <w:pPr>
              <w:pStyle w:val="11"/>
              <w:numPr>
                <w:ilvl w:val="0"/>
                <w:numId w:val="3"/>
              </w:numPr>
              <w:tabs>
                <w:tab w:val="left" w:pos="110"/>
              </w:tabs>
            </w:pPr>
            <w:r>
              <w:rPr>
                <w:rStyle w:val="10"/>
              </w:rPr>
              <w:t>незнание сотрудниками законодательства о защите конкуренции;</w:t>
            </w:r>
          </w:p>
          <w:p w14:paraId="3E889006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- неоднозначность толкования</w:t>
            </w:r>
          </w:p>
        </w:tc>
      </w:tr>
      <w:tr w14:paraId="65D3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3" w:type="dxa"/>
          </w:tcPr>
          <w:p w14:paraId="1EDFE486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Высокий уровень</w:t>
            </w:r>
          </w:p>
        </w:tc>
        <w:tc>
          <w:tcPr>
            <w:tcW w:w="4853" w:type="dxa"/>
          </w:tcPr>
          <w:p w14:paraId="73680661">
            <w:pPr>
              <w:pStyle w:val="11"/>
            </w:pPr>
            <w:r>
              <w:rPr>
                <w:rStyle w:val="10"/>
              </w:rPr>
              <w:t>В сфере закупок для муниципальных нужд:</w:t>
            </w:r>
          </w:p>
          <w:p w14:paraId="30BD5296">
            <w:pPr>
              <w:pStyle w:val="11"/>
              <w:numPr>
                <w:ilvl w:val="0"/>
                <w:numId w:val="4"/>
              </w:numPr>
              <w:tabs>
                <w:tab w:val="left" w:pos="115"/>
              </w:tabs>
            </w:pPr>
            <w:r>
              <w:rPr>
                <w:rStyle w:val="10"/>
              </w:rPr>
              <w:t>нарушение порядка определения победителя или победителей торгов, запроса котировок, запроса предложений;</w:t>
            </w:r>
          </w:p>
          <w:p w14:paraId="0DDA6A64">
            <w:pPr>
              <w:pStyle w:val="11"/>
              <w:numPr>
                <w:ilvl w:val="0"/>
                <w:numId w:val="4"/>
              </w:numPr>
              <w:tabs>
                <w:tab w:val="left" w:pos="115"/>
              </w:tabs>
            </w:pPr>
            <w:r>
              <w:rPr>
                <w:rStyle w:val="10"/>
              </w:rPr>
              <w:t>не предусмотренное федеральными законами или иными нормативными правовыми актами ограничение доступа к участию в торгах, запросе котировок, запросе предложений;</w:t>
            </w:r>
          </w:p>
          <w:p w14:paraId="57624D39">
            <w:pPr>
              <w:pStyle w:val="11"/>
              <w:numPr>
                <w:ilvl w:val="0"/>
                <w:numId w:val="4"/>
              </w:numPr>
              <w:tabs>
                <w:tab w:val="left" w:pos="115"/>
              </w:tabs>
            </w:pPr>
            <w:r>
              <w:rPr>
                <w:rStyle w:val="10"/>
              </w:rPr>
              <w:t>установление непредусмотренных законодательством Российской Федерации требований к товарам или хозяйствующим субъектам;</w:t>
            </w:r>
          </w:p>
          <w:p w14:paraId="3333E87B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ограничение конкуренции между участниками торгов, участниками запроса котировок, участниками запроса предложений путем включения в состав лотов товаров, работ, услуг, технологически и функционально не связанных с товарами, работами, услугами, поставки, выполнение, оказание которых являются предметом торгов, запроса котировок, запроса предложений. Ограничение количества участников закупки, которое может выражаться в ограничении сроков поставки товаров, работ, услуг</w:t>
            </w:r>
          </w:p>
        </w:tc>
        <w:tc>
          <w:tcPr>
            <w:tcW w:w="4854" w:type="dxa"/>
          </w:tcPr>
          <w:p w14:paraId="6E30F376">
            <w:pPr>
              <w:pStyle w:val="11"/>
              <w:numPr>
                <w:ilvl w:val="0"/>
                <w:numId w:val="5"/>
              </w:numPr>
              <w:tabs>
                <w:tab w:val="left" w:pos="115"/>
              </w:tabs>
            </w:pPr>
            <w:r>
              <w:rPr>
                <w:rStyle w:val="10"/>
              </w:rPr>
              <w:t>отсутствие достаточной квалификации сотрудников, осуществляющих подготовку и проведение закупки;</w:t>
            </w:r>
          </w:p>
          <w:p w14:paraId="3E72907E">
            <w:pPr>
              <w:pStyle w:val="11"/>
              <w:numPr>
                <w:ilvl w:val="0"/>
                <w:numId w:val="5"/>
              </w:numPr>
              <w:tabs>
                <w:tab w:val="left" w:pos="115"/>
              </w:tabs>
            </w:pPr>
            <w:r>
              <w:rPr>
                <w:rStyle w:val="10"/>
              </w:rPr>
              <w:t>нарушение порядка и сроков размещения документации о закупке;</w:t>
            </w:r>
          </w:p>
          <w:p w14:paraId="6116389C">
            <w:pPr>
              <w:spacing w:after="0" w:line="240" w:lineRule="auto"/>
            </w:pPr>
            <w:r>
              <w:rPr>
                <w:rStyle w:val="10"/>
                <w:rFonts w:eastAsiaTheme="minorHAnsi"/>
              </w:rPr>
              <w:t>- отсутствие разъяснений уполномоченного органа по вопросам проведения закупок</w:t>
            </w:r>
          </w:p>
        </w:tc>
      </w:tr>
    </w:tbl>
    <w:p w14:paraId="43116D74"/>
    <w:p w14:paraId="4F7DFDC3"/>
    <w:p w14:paraId="2E47425E"/>
    <w:p w14:paraId="35587D84">
      <w:pPr>
        <w:pStyle w:val="7"/>
        <w:spacing w:after="0"/>
        <w:ind w:left="9460"/>
        <w:rPr>
          <w:rStyle w:val="12"/>
        </w:rPr>
      </w:pPr>
    </w:p>
    <w:p w14:paraId="107E8D54">
      <w:pPr>
        <w:pStyle w:val="7"/>
        <w:spacing w:after="0"/>
        <w:ind w:left="9460"/>
        <w:rPr>
          <w:rStyle w:val="12"/>
        </w:rPr>
      </w:pPr>
    </w:p>
    <w:p w14:paraId="7F46A011">
      <w:pPr>
        <w:pStyle w:val="7"/>
        <w:spacing w:after="0"/>
        <w:ind w:left="9460"/>
        <w:rPr>
          <w:rStyle w:val="12"/>
        </w:rPr>
      </w:pPr>
    </w:p>
    <w:p w14:paraId="1401B53C">
      <w:pPr>
        <w:pStyle w:val="7"/>
        <w:spacing w:after="0"/>
        <w:ind w:left="9460"/>
        <w:rPr>
          <w:rStyle w:val="12"/>
        </w:rPr>
      </w:pPr>
    </w:p>
    <w:p w14:paraId="0FB5F407">
      <w:pPr>
        <w:pStyle w:val="7"/>
        <w:spacing w:after="0"/>
        <w:ind w:left="9460"/>
        <w:rPr>
          <w:rStyle w:val="12"/>
        </w:rPr>
      </w:pPr>
    </w:p>
    <w:p w14:paraId="131AB766">
      <w:pPr>
        <w:pStyle w:val="7"/>
        <w:spacing w:after="0"/>
        <w:ind w:left="9460"/>
        <w:rPr>
          <w:rStyle w:val="12"/>
        </w:rPr>
      </w:pPr>
    </w:p>
    <w:p w14:paraId="17E7FDEE">
      <w:pPr>
        <w:pStyle w:val="7"/>
        <w:spacing w:after="0"/>
        <w:ind w:left="9460"/>
        <w:rPr>
          <w:rStyle w:val="12"/>
        </w:rPr>
      </w:pPr>
    </w:p>
    <w:p w14:paraId="2ECC2F54">
      <w:pPr>
        <w:pStyle w:val="7"/>
        <w:spacing w:after="0"/>
        <w:ind w:left="9460"/>
        <w:rPr>
          <w:rStyle w:val="12"/>
        </w:rPr>
      </w:pPr>
    </w:p>
    <w:p w14:paraId="3A0F6B02">
      <w:pPr>
        <w:pStyle w:val="7"/>
        <w:spacing w:after="0"/>
        <w:ind w:left="9460"/>
        <w:rPr>
          <w:rStyle w:val="12"/>
        </w:rPr>
      </w:pPr>
    </w:p>
    <w:p w14:paraId="1F625090">
      <w:bookmarkStart w:id="1" w:name="_GoBack"/>
      <w:bookmarkEnd w:id="1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2E185F"/>
    <w:multiLevelType w:val="multilevel"/>
    <w:tmpl w:val="282E185F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C5564E1"/>
    <w:multiLevelType w:val="multilevel"/>
    <w:tmpl w:val="2C5564E1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AF65B5A"/>
    <w:multiLevelType w:val="multilevel"/>
    <w:tmpl w:val="5AF65B5A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BF9240A"/>
    <w:multiLevelType w:val="multilevel"/>
    <w:tmpl w:val="5BF9240A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26C0984"/>
    <w:multiLevelType w:val="multilevel"/>
    <w:tmpl w:val="626C0984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B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Основной текст1"/>
    <w:basedOn w:val="1"/>
    <w:link w:val="6"/>
    <w:qFormat/>
    <w:uiPriority w:val="0"/>
    <w:pPr>
      <w:widowControl w:val="0"/>
      <w:spacing w:after="0" w:line="257" w:lineRule="auto"/>
      <w:ind w:firstLine="350"/>
    </w:pPr>
    <w:rPr>
      <w:rFonts w:ascii="Times New Roman" w:hAnsi="Times New Roman" w:eastAsia="Times New Roman" w:cs="Times New Roman"/>
    </w:rPr>
  </w:style>
  <w:style w:type="character" w:customStyle="1" w:styleId="6">
    <w:name w:val="Основной текст_"/>
    <w:basedOn w:val="2"/>
    <w:link w:val="5"/>
    <w:qFormat/>
    <w:uiPriority w:val="0"/>
    <w:rPr>
      <w:rFonts w:ascii="Times New Roman" w:hAnsi="Times New Roman" w:eastAsia="Times New Roman" w:cs="Times New Roman"/>
    </w:rPr>
  </w:style>
  <w:style w:type="paragraph" w:customStyle="1" w:styleId="7">
    <w:name w:val="Основной текст (2)"/>
    <w:basedOn w:val="1"/>
    <w:link w:val="12"/>
    <w:qFormat/>
    <w:uiPriority w:val="0"/>
    <w:pPr>
      <w:widowControl w:val="0"/>
      <w:spacing w:after="320" w:line="240" w:lineRule="auto"/>
      <w:ind w:left="9560"/>
      <w:jc w:val="right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8">
    <w:name w:val="Заголовок №2"/>
    <w:basedOn w:val="1"/>
    <w:link w:val="9"/>
    <w:qFormat/>
    <w:uiPriority w:val="0"/>
    <w:pPr>
      <w:widowControl w:val="0"/>
      <w:spacing w:after="120" w:line="240" w:lineRule="auto"/>
      <w:jc w:val="center"/>
      <w:outlineLvl w:val="1"/>
    </w:pPr>
    <w:rPr>
      <w:rFonts w:ascii="Times New Roman" w:hAnsi="Times New Roman" w:eastAsia="Times New Roman" w:cs="Times New Roman"/>
      <w:b/>
      <w:bCs/>
    </w:rPr>
  </w:style>
  <w:style w:type="character" w:customStyle="1" w:styleId="9">
    <w:name w:val="Заголовок №2_"/>
    <w:basedOn w:val="2"/>
    <w:link w:val="8"/>
    <w:qFormat/>
    <w:uiPriority w:val="0"/>
    <w:rPr>
      <w:rFonts w:ascii="Times New Roman" w:hAnsi="Times New Roman" w:eastAsia="Times New Roman" w:cs="Times New Roman"/>
      <w:b/>
      <w:bCs/>
    </w:rPr>
  </w:style>
  <w:style w:type="character" w:customStyle="1" w:styleId="10">
    <w:name w:val="Другое_"/>
    <w:basedOn w:val="2"/>
    <w:link w:val="1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11">
    <w:name w:val="Другое"/>
    <w:basedOn w:val="1"/>
    <w:link w:val="10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Основной текст (2)_"/>
    <w:basedOn w:val="2"/>
    <w:link w:val="7"/>
    <w:qFormat/>
    <w:uiPriority w:val="0"/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2025-12-19T00:38:05Z</dcterms:created>
  <dc:creator>123</dc:creator>
  <cp:lastModifiedBy>123</cp:lastModifiedBy>
  <dcterms:modified xsi:type="dcterms:W3CDTF">2025-12-19T00:38:20Z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87477E2A4C3E40E88F306D3F66DCB6D3_12</vt:lpwstr>
  </property>
</Properties>
</file>