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2A5A">
      <w:pPr>
        <w:pStyle w:val="10"/>
        <w:spacing w:line="240" w:lineRule="auto"/>
        <w:ind w:firstLine="0"/>
        <w:jc w:val="right"/>
        <w:rPr>
          <w:rStyle w:val="9"/>
          <w:sz w:val="20"/>
          <w:szCs w:val="20"/>
        </w:rPr>
      </w:pPr>
      <w:r>
        <w:rPr>
          <w:rStyle w:val="9"/>
          <w:sz w:val="20"/>
          <w:szCs w:val="20"/>
        </w:rPr>
        <w:t xml:space="preserve">Приложение 1 </w:t>
      </w:r>
    </w:p>
    <w:p w14:paraId="2567A705">
      <w:pPr>
        <w:pStyle w:val="10"/>
        <w:spacing w:line="240" w:lineRule="auto"/>
        <w:ind w:firstLine="0"/>
        <w:jc w:val="right"/>
        <w:rPr>
          <w:rStyle w:val="9"/>
          <w:sz w:val="20"/>
          <w:szCs w:val="20"/>
        </w:rPr>
      </w:pPr>
      <w:r>
        <w:rPr>
          <w:rStyle w:val="9"/>
          <w:sz w:val="20"/>
          <w:szCs w:val="20"/>
        </w:rPr>
        <w:t xml:space="preserve">к Распоряжению Администрации </w:t>
      </w:r>
    </w:p>
    <w:p w14:paraId="7F440106">
      <w:pPr>
        <w:pStyle w:val="10"/>
        <w:spacing w:line="240" w:lineRule="auto"/>
        <w:ind w:firstLine="0"/>
        <w:jc w:val="right"/>
        <w:rPr>
          <w:rStyle w:val="9"/>
          <w:sz w:val="20"/>
          <w:szCs w:val="20"/>
        </w:rPr>
      </w:pPr>
      <w:r>
        <w:rPr>
          <w:rStyle w:val="9"/>
          <w:sz w:val="20"/>
          <w:szCs w:val="20"/>
        </w:rPr>
        <w:t>муниципального образования «</w:t>
      </w:r>
      <w:r>
        <w:rPr>
          <w:rStyle w:val="9"/>
          <w:sz w:val="20"/>
          <w:szCs w:val="20"/>
          <w:lang w:val="ru-RU"/>
        </w:rPr>
        <w:t>Тарбагатайский</w:t>
      </w:r>
      <w:r>
        <w:rPr>
          <w:rStyle w:val="9"/>
          <w:sz w:val="20"/>
          <w:szCs w:val="20"/>
        </w:rPr>
        <w:t xml:space="preserve"> район»</w:t>
      </w:r>
    </w:p>
    <w:p w14:paraId="672CA773">
      <w:pPr>
        <w:ind w:right="-31"/>
        <w:jc w:val="right"/>
        <w:rPr>
          <w:rFonts w:hint="default"/>
          <w:sz w:val="20"/>
          <w:szCs w:val="20"/>
          <w:u w:val="single"/>
          <w:lang w:val="ru-RU"/>
        </w:rPr>
      </w:pPr>
      <w:r>
        <w:rPr>
          <w:rFonts w:hint="default"/>
          <w:sz w:val="20"/>
          <w:szCs w:val="20"/>
          <w:u w:val="single"/>
          <w:lang w:val="ru-RU"/>
        </w:rPr>
        <w:t>328</w:t>
      </w:r>
      <w:r>
        <w:rPr>
          <w:sz w:val="20"/>
          <w:szCs w:val="20"/>
          <w:u w:val="single"/>
        </w:rPr>
        <w:t xml:space="preserve">-р от </w:t>
      </w:r>
      <w:r>
        <w:rPr>
          <w:rFonts w:hint="default"/>
          <w:sz w:val="20"/>
          <w:szCs w:val="20"/>
          <w:u w:val="single"/>
          <w:lang w:val="ru-RU"/>
        </w:rPr>
        <w:t>08</w:t>
      </w:r>
      <w:r>
        <w:rPr>
          <w:sz w:val="20"/>
          <w:szCs w:val="20"/>
          <w:u w:val="single"/>
        </w:rPr>
        <w:t>.</w:t>
      </w:r>
      <w:r>
        <w:rPr>
          <w:rFonts w:hint="default"/>
          <w:sz w:val="20"/>
          <w:szCs w:val="20"/>
          <w:u w:val="single"/>
          <w:lang w:val="ru-RU"/>
        </w:rPr>
        <w:t>10</w:t>
      </w:r>
      <w:r>
        <w:rPr>
          <w:sz w:val="20"/>
          <w:szCs w:val="20"/>
          <w:u w:val="single"/>
        </w:rPr>
        <w:t>.202</w:t>
      </w:r>
      <w:r>
        <w:rPr>
          <w:rFonts w:hint="default"/>
          <w:sz w:val="20"/>
          <w:szCs w:val="20"/>
          <w:u w:val="single"/>
          <w:lang w:val="ru-RU"/>
        </w:rPr>
        <w:t>5</w:t>
      </w:r>
    </w:p>
    <w:p w14:paraId="6D642BDC">
      <w:pPr>
        <w:pStyle w:val="10"/>
        <w:spacing w:line="240" w:lineRule="auto"/>
        <w:ind w:firstLine="0"/>
        <w:rPr>
          <w:rStyle w:val="9"/>
        </w:rPr>
      </w:pPr>
    </w:p>
    <w:p w14:paraId="451E6C75">
      <w:pPr>
        <w:pStyle w:val="10"/>
        <w:spacing w:line="240" w:lineRule="auto"/>
        <w:ind w:firstLine="0"/>
        <w:jc w:val="right"/>
        <w:rPr>
          <w:rStyle w:val="9"/>
        </w:rPr>
      </w:pPr>
    </w:p>
    <w:p w14:paraId="4F6CE7CF">
      <w:pPr>
        <w:pStyle w:val="10"/>
        <w:spacing w:after="380" w:line="240" w:lineRule="auto"/>
        <w:ind w:firstLine="0"/>
        <w:jc w:val="center"/>
        <w:rPr>
          <w:rStyle w:val="9"/>
          <w:b/>
          <w:bCs/>
        </w:rPr>
      </w:pPr>
      <w:r>
        <w:rPr>
          <w:rStyle w:val="9"/>
          <w:b/>
          <w:bCs/>
        </w:rPr>
        <w:t>План мероприятий («дорожная карта»)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по снижению рисков нарушения антимонопольного законодательства в муниципальном образовании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«</w:t>
      </w:r>
      <w:r>
        <w:rPr>
          <w:rStyle w:val="9"/>
          <w:b/>
          <w:bCs/>
          <w:lang w:val="ru-RU"/>
        </w:rPr>
        <w:t>Тарбагатайский</w:t>
      </w:r>
      <w:r>
        <w:rPr>
          <w:rStyle w:val="9"/>
          <w:b/>
          <w:bCs/>
        </w:rPr>
        <w:t xml:space="preserve"> район»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на 202</w:t>
      </w:r>
      <w:r>
        <w:rPr>
          <w:rStyle w:val="9"/>
          <w:rFonts w:hint="default"/>
          <w:b/>
          <w:bCs/>
          <w:lang w:val="ru-RU"/>
        </w:rPr>
        <w:t>5</w:t>
      </w:r>
      <w:r>
        <w:rPr>
          <w:rStyle w:val="9"/>
          <w:b/>
          <w:bCs/>
        </w:rPr>
        <w:t xml:space="preserve"> год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15A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C145AA9">
            <w:pPr>
              <w:pStyle w:val="10"/>
              <w:spacing w:after="380" w:line="240" w:lineRule="auto"/>
              <w:ind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Комплаенс-риск</w:t>
            </w:r>
          </w:p>
        </w:tc>
        <w:tc>
          <w:tcPr>
            <w:tcW w:w="2912" w:type="dxa"/>
          </w:tcPr>
          <w:p w14:paraId="61C448E9">
            <w:pPr>
              <w:pStyle w:val="10"/>
              <w:spacing w:after="380" w:line="240" w:lineRule="auto"/>
              <w:ind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2912" w:type="dxa"/>
          </w:tcPr>
          <w:p w14:paraId="7C86A43F">
            <w:pPr>
              <w:pStyle w:val="10"/>
              <w:tabs>
                <w:tab w:val="left" w:pos="1815"/>
              </w:tabs>
              <w:spacing w:after="380" w:line="240" w:lineRule="auto"/>
              <w:ind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 ответственности и полномочий</w:t>
            </w:r>
          </w:p>
        </w:tc>
        <w:tc>
          <w:tcPr>
            <w:tcW w:w="2912" w:type="dxa"/>
          </w:tcPr>
          <w:p w14:paraId="3544EA53">
            <w:pPr>
              <w:pStyle w:val="10"/>
              <w:spacing w:after="380" w:line="240" w:lineRule="auto"/>
              <w:ind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2912" w:type="dxa"/>
          </w:tcPr>
          <w:p w14:paraId="4C3464E4">
            <w:pPr>
              <w:pStyle w:val="10"/>
              <w:spacing w:after="380" w:line="240" w:lineRule="auto"/>
              <w:ind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Критерии эффективности</w:t>
            </w:r>
          </w:p>
        </w:tc>
      </w:tr>
      <w:tr w14:paraId="080D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963F96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при осуществлении закупок товаров, работ, услуг для обеспечения муниципальных нужд, повлекшие нарушение антимонопольного законодательства (дробление, укрупнение закупки, предоставление документов о закупке до начала размещения извещения и документации в ЕИС, конфликт интересов членов комиссии, несоответствие в проекте контракта условий контракта предложению участника закупки, не заключение муниципального контракта)</w:t>
            </w:r>
          </w:p>
        </w:tc>
        <w:tc>
          <w:tcPr>
            <w:tcW w:w="2912" w:type="dxa"/>
          </w:tcPr>
          <w:p w14:paraId="5CA01CA5">
            <w:pPr>
              <w:pStyle w:val="14"/>
              <w:tabs>
                <w:tab w:val="left" w:pos="342"/>
              </w:tabs>
              <w:ind w:right="138"/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1. Систематическое повышение квалификации работников службы закупок.</w:t>
            </w:r>
          </w:p>
          <w:p w14:paraId="0EAD60F0">
            <w:pPr>
              <w:pStyle w:val="14"/>
              <w:tabs>
                <w:tab w:val="left" w:pos="342"/>
              </w:tabs>
              <w:ind w:right="138"/>
              <w:rPr>
                <w:rStyle w:val="13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2. Мониторинг изменений законодательства о закупках.</w:t>
            </w:r>
          </w:p>
          <w:p w14:paraId="19FD3AF5">
            <w:pPr>
              <w:pStyle w:val="14"/>
              <w:tabs>
                <w:tab w:val="left" w:pos="342"/>
              </w:tabs>
              <w:ind w:right="138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3. Осуществление муниципального финансового контроля</w:t>
            </w:r>
          </w:p>
        </w:tc>
        <w:tc>
          <w:tcPr>
            <w:tcW w:w="2912" w:type="dxa"/>
          </w:tcPr>
          <w:p w14:paraId="1A5F2FE9">
            <w:pPr>
              <w:pStyle w:val="14"/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1, 2 – Отдел закупок Администрации муниципального образования «</w:t>
            </w:r>
            <w:r>
              <w:rPr>
                <w:rStyle w:val="13"/>
                <w:sz w:val="18"/>
                <w:szCs w:val="18"/>
                <w:lang w:val="ru-RU"/>
              </w:rPr>
              <w:t>Тарбагатайский</w:t>
            </w:r>
            <w:r>
              <w:rPr>
                <w:rStyle w:val="13"/>
                <w:sz w:val="18"/>
                <w:szCs w:val="18"/>
              </w:rPr>
              <w:t xml:space="preserve"> район»</w:t>
            </w:r>
          </w:p>
          <w:p w14:paraId="4B380DF4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3 – Финансовое управление Администрации муниципального образования «</w:t>
            </w:r>
            <w:r>
              <w:rPr>
                <w:rStyle w:val="13"/>
                <w:sz w:val="18"/>
                <w:szCs w:val="18"/>
                <w:lang w:val="ru-RU"/>
              </w:rPr>
              <w:t>Тарбагатайский</w:t>
            </w:r>
            <w:r>
              <w:rPr>
                <w:rStyle w:val="13"/>
                <w:sz w:val="18"/>
                <w:szCs w:val="18"/>
              </w:rPr>
              <w:t xml:space="preserve"> район»</w:t>
            </w:r>
          </w:p>
        </w:tc>
        <w:tc>
          <w:tcPr>
            <w:tcW w:w="2912" w:type="dxa"/>
          </w:tcPr>
          <w:p w14:paraId="01AEBC19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Подготовка документов без наличия рисков нарушения антимонопольного законодательства (далее – АЗ)</w:t>
            </w:r>
          </w:p>
        </w:tc>
        <w:tc>
          <w:tcPr>
            <w:tcW w:w="2912" w:type="dxa"/>
          </w:tcPr>
          <w:p w14:paraId="295953F9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0812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8A2E49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Разработка проектов нормативных правовых актов (далее - НПА), соглашений и осуществление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2912" w:type="dxa"/>
          </w:tcPr>
          <w:p w14:paraId="5C680DF2">
            <w:pPr>
              <w:pStyle w:val="14"/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1. Повышение уровня квалификации должностных лиц, ответственных за разработку нормативных правовых актов (далее - НПА).</w:t>
            </w:r>
          </w:p>
          <w:p w14:paraId="6A6E1F7D">
            <w:pPr>
              <w:pStyle w:val="14"/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2. Мониторинг и анализ практики применения АЗ.</w:t>
            </w:r>
          </w:p>
          <w:p w14:paraId="363B38F7">
            <w:pPr>
              <w:pStyle w:val="14"/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3. Размещение на официальном сайте муниципального образования «</w:t>
            </w:r>
            <w:r>
              <w:rPr>
                <w:rStyle w:val="13"/>
                <w:sz w:val="18"/>
                <w:szCs w:val="18"/>
                <w:lang w:val="ru-RU"/>
              </w:rPr>
              <w:t>Тарбагатайский</w:t>
            </w:r>
            <w:r>
              <w:rPr>
                <w:rStyle w:val="13"/>
                <w:sz w:val="18"/>
                <w:szCs w:val="18"/>
              </w:rPr>
              <w:t xml:space="preserve"> район» (далее - МО «</w:t>
            </w:r>
            <w:r>
              <w:rPr>
                <w:rStyle w:val="13"/>
                <w:sz w:val="18"/>
                <w:szCs w:val="18"/>
                <w:lang w:val="ru-RU"/>
              </w:rPr>
              <w:t>Тарбагатайский</w:t>
            </w:r>
            <w:r>
              <w:rPr>
                <w:rStyle w:val="13"/>
                <w:sz w:val="18"/>
                <w:szCs w:val="18"/>
              </w:rPr>
              <w:t xml:space="preserve"> район») полного перечня действующих НПА (за исключением НПА, содержащих государственную тайну).</w:t>
            </w:r>
          </w:p>
          <w:p w14:paraId="6E814F7E">
            <w:pPr>
              <w:pStyle w:val="14"/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4. Анализ проектов НПА на наличие рисков нарушения АЗ.</w:t>
            </w:r>
          </w:p>
          <w:p w14:paraId="36A93C4C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5. Проведение оценки регулирующего воздействия проектов НПА и экспертизы действующих НПА в области инвестиционной и иной экономической деятельности</w:t>
            </w:r>
          </w:p>
        </w:tc>
        <w:tc>
          <w:tcPr>
            <w:tcW w:w="2912" w:type="dxa"/>
          </w:tcPr>
          <w:p w14:paraId="49E4F7E9">
            <w:pPr>
              <w:pStyle w:val="14"/>
              <w:rPr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Руководители структурных подразделений Администрации муниципального образования «</w:t>
            </w:r>
            <w:r>
              <w:rPr>
                <w:rStyle w:val="13"/>
                <w:sz w:val="18"/>
                <w:szCs w:val="18"/>
                <w:lang w:val="ru-RU"/>
              </w:rPr>
              <w:t>Тарбагатайский</w:t>
            </w:r>
            <w:r>
              <w:rPr>
                <w:rStyle w:val="13"/>
                <w:sz w:val="18"/>
                <w:szCs w:val="18"/>
              </w:rPr>
              <w:t xml:space="preserve"> район» (далее -</w:t>
            </w:r>
          </w:p>
          <w:p w14:paraId="751D0492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Руководители структурных подразделений)</w:t>
            </w:r>
          </w:p>
        </w:tc>
        <w:tc>
          <w:tcPr>
            <w:tcW w:w="2912" w:type="dxa"/>
          </w:tcPr>
          <w:p w14:paraId="1821DB44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Подготовка документов без наличия рисков нарушения АЗ</w:t>
            </w:r>
          </w:p>
        </w:tc>
        <w:tc>
          <w:tcPr>
            <w:tcW w:w="2912" w:type="dxa"/>
          </w:tcPr>
          <w:p w14:paraId="7D5DE438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  <w:sz w:val="18"/>
                <w:szCs w:val="18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411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5387AC">
            <w:pPr>
              <w:pStyle w:val="14"/>
            </w:pPr>
            <w:r>
              <w:rPr>
                <w:rStyle w:val="13"/>
              </w:rPr>
              <w:t>Нарушение порядка предоставления муниципальных услуг:</w:t>
            </w:r>
          </w:p>
          <w:p w14:paraId="0C6EE6DA">
            <w:pPr>
              <w:pStyle w:val="14"/>
              <w:tabs>
                <w:tab w:val="left" w:pos="318"/>
              </w:tabs>
            </w:pPr>
            <w:r>
              <w:rPr>
                <w:rStyle w:val="13"/>
              </w:rPr>
              <w:t>- отказ в предоставлении муниципальной услуги по основаниям, не предусмотренным законодательством;</w:t>
            </w:r>
          </w:p>
          <w:p w14:paraId="443583C5">
            <w:pPr>
              <w:pStyle w:val="14"/>
              <w:tabs>
                <w:tab w:val="left" w:pos="318"/>
                <w:tab w:val="left" w:pos="1268"/>
                <w:tab w:val="left" w:pos="3188"/>
              </w:tabs>
              <w:rPr>
                <w:rStyle w:val="9"/>
              </w:rPr>
            </w:pPr>
            <w:r>
              <w:rPr>
                <w:rStyle w:val="13"/>
              </w:rPr>
              <w:t>-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2912" w:type="dxa"/>
          </w:tcPr>
          <w:p w14:paraId="6A455BA0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1. Осуществление текущего контроля предоставления муниципальных услуг.</w:t>
            </w:r>
          </w:p>
          <w:p w14:paraId="347B1A59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 xml:space="preserve">2. Мониторинг актуальности административных регламентов, технологических схем оказания муниципальных услуг. </w:t>
            </w:r>
          </w:p>
          <w:p w14:paraId="2C553394">
            <w:pPr>
              <w:pStyle w:val="14"/>
              <w:tabs>
                <w:tab w:val="left" w:pos="342"/>
              </w:tabs>
              <w:rPr>
                <w:rStyle w:val="9"/>
              </w:rPr>
            </w:pPr>
            <w:r>
              <w:rPr>
                <w:rStyle w:val="13"/>
              </w:rPr>
              <w:t>3. Повышение внутреннего контроля</w:t>
            </w:r>
          </w:p>
        </w:tc>
        <w:tc>
          <w:tcPr>
            <w:tcW w:w="2912" w:type="dxa"/>
          </w:tcPr>
          <w:p w14:paraId="01FD7510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Руководители, специалисты структурных подразделений, ответственные за предоставление таких услуг</w:t>
            </w:r>
          </w:p>
        </w:tc>
        <w:tc>
          <w:tcPr>
            <w:tcW w:w="2912" w:type="dxa"/>
          </w:tcPr>
          <w:p w14:paraId="17FB4B71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Оказание муниципальных услуг без риска нарушения АЗ</w:t>
            </w:r>
          </w:p>
        </w:tc>
        <w:tc>
          <w:tcPr>
            <w:tcW w:w="2912" w:type="dxa"/>
          </w:tcPr>
          <w:p w14:paraId="2BD75009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2496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F1F16B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Передача имущества без торгов, нарушение порядка проведения торгов, нарушение порядка определения победителя торгов, требования о предоставлении документов, не предусмотренных документацией, несоблюдение сроков проведения торгов, неправомерные требования к участникам</w:t>
            </w:r>
          </w:p>
        </w:tc>
        <w:tc>
          <w:tcPr>
            <w:tcW w:w="2912" w:type="dxa"/>
          </w:tcPr>
          <w:p w14:paraId="19B17663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6B2E0C6D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2. Усиление внутреннего контроля.</w:t>
            </w:r>
          </w:p>
          <w:p w14:paraId="64B783B5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3. Мониторинг изменения законодательства в области имущественных отношений</w:t>
            </w:r>
          </w:p>
        </w:tc>
        <w:tc>
          <w:tcPr>
            <w:tcW w:w="2912" w:type="dxa"/>
          </w:tcPr>
          <w:p w14:paraId="35488FD8">
            <w:pPr>
              <w:pStyle w:val="14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МКУ «Комитет по архитектуре, имуществу и земельным отношением» Администрации муниципального образования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 (далее - Комитет по архитектуре, имуществу и земельным отношением)</w:t>
            </w:r>
          </w:p>
        </w:tc>
        <w:tc>
          <w:tcPr>
            <w:tcW w:w="2912" w:type="dxa"/>
          </w:tcPr>
          <w:p w14:paraId="608E2712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Передача имущества без риска нарушения АЗ</w:t>
            </w:r>
          </w:p>
        </w:tc>
        <w:tc>
          <w:tcPr>
            <w:tcW w:w="2912" w:type="dxa"/>
          </w:tcPr>
          <w:p w14:paraId="6B0ED0C3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63E5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7CD8D9D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Нарушения при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2912" w:type="dxa"/>
          </w:tcPr>
          <w:p w14:paraId="00413837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0078F93D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2. Усиление внутреннего контроля.</w:t>
            </w:r>
          </w:p>
          <w:p w14:paraId="33410B4C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3. Мониторинг изменения жилищного законодательства</w:t>
            </w:r>
          </w:p>
        </w:tc>
        <w:tc>
          <w:tcPr>
            <w:tcW w:w="2912" w:type="dxa"/>
          </w:tcPr>
          <w:p w14:paraId="73A6D04D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Комитет по архитектуре, имуществу и земельным отношением</w:t>
            </w:r>
          </w:p>
        </w:tc>
        <w:tc>
          <w:tcPr>
            <w:tcW w:w="2912" w:type="dxa"/>
          </w:tcPr>
          <w:p w14:paraId="492C2150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Отбор управляющей организации без риска нарушения АЗ</w:t>
            </w:r>
          </w:p>
        </w:tc>
        <w:tc>
          <w:tcPr>
            <w:tcW w:w="2912" w:type="dxa"/>
          </w:tcPr>
          <w:p w14:paraId="6841BF1D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0024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E0CEDC9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Нарушения при проведении аукциона на право заключения договора на установку и эксплуатацию рекламной конструкции (далее – РК)</w:t>
            </w:r>
          </w:p>
        </w:tc>
        <w:tc>
          <w:tcPr>
            <w:tcW w:w="2912" w:type="dxa"/>
          </w:tcPr>
          <w:p w14:paraId="2B7B5095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2AE7175A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2. Усиление внутреннего контроля.</w:t>
            </w:r>
          </w:p>
          <w:p w14:paraId="76BA86D5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3. Мониторинг изменения законодательства в области законодательства о рекламе</w:t>
            </w:r>
          </w:p>
        </w:tc>
        <w:tc>
          <w:tcPr>
            <w:tcW w:w="2912" w:type="dxa"/>
          </w:tcPr>
          <w:p w14:paraId="44F1C634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Комитет по архитектуре, имуществу и земельным отношением</w:t>
            </w:r>
          </w:p>
        </w:tc>
        <w:tc>
          <w:tcPr>
            <w:tcW w:w="2912" w:type="dxa"/>
          </w:tcPr>
          <w:p w14:paraId="22CA7201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Заключение договора на установку и эксплуатацию РК без риска нарушения АЗ</w:t>
            </w:r>
          </w:p>
        </w:tc>
        <w:tc>
          <w:tcPr>
            <w:tcW w:w="2912" w:type="dxa"/>
          </w:tcPr>
          <w:p w14:paraId="75152364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6AAC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410A3BF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Нарушения при проведении аукциона на право размещения нестационарного торгового объекта (далее – НТО)</w:t>
            </w:r>
          </w:p>
        </w:tc>
        <w:tc>
          <w:tcPr>
            <w:tcW w:w="2912" w:type="dxa"/>
          </w:tcPr>
          <w:p w14:paraId="6627D436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7711236A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Усиление внутреннего контроля.</w:t>
            </w:r>
          </w:p>
          <w:p w14:paraId="695C433C">
            <w:pPr>
              <w:pStyle w:val="14"/>
              <w:tabs>
                <w:tab w:val="left" w:pos="342"/>
              </w:tabs>
              <w:rPr>
                <w:rStyle w:val="9"/>
              </w:rPr>
            </w:pPr>
            <w:r>
              <w:rPr>
                <w:rStyle w:val="13"/>
              </w:rPr>
              <w:t>3. Мониторинг изменения законодательства в области торговой деятельности</w:t>
            </w:r>
          </w:p>
        </w:tc>
        <w:tc>
          <w:tcPr>
            <w:tcW w:w="2912" w:type="dxa"/>
          </w:tcPr>
          <w:p w14:paraId="0F97DC8F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Комитет по архитектуре, имуществу и земельным отношением</w:t>
            </w:r>
          </w:p>
        </w:tc>
        <w:tc>
          <w:tcPr>
            <w:tcW w:w="2912" w:type="dxa"/>
          </w:tcPr>
          <w:p w14:paraId="35A92DAB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Заключение договора на право размещения НТО без риска нарушения АЗ</w:t>
            </w:r>
          </w:p>
        </w:tc>
        <w:tc>
          <w:tcPr>
            <w:tcW w:w="2912" w:type="dxa"/>
          </w:tcPr>
          <w:p w14:paraId="6AA601B0">
            <w:pPr>
              <w:pStyle w:val="10"/>
              <w:spacing w:after="380" w:line="240" w:lineRule="auto"/>
              <w:ind w:firstLine="0"/>
              <w:rPr>
                <w:rStyle w:val="9"/>
                <w:sz w:val="18"/>
                <w:szCs w:val="18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352C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E296988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Создание необоснованных преимуществ при оказании поддержки инвестиционной и предпринимательской деятельности (при предоставлении преференций, льгот, гарантий, освобождения от налогов, предоставлении земельных участков, недвижимого имущества)</w:t>
            </w:r>
          </w:p>
        </w:tc>
        <w:tc>
          <w:tcPr>
            <w:tcW w:w="2912" w:type="dxa"/>
          </w:tcPr>
          <w:p w14:paraId="2970DE7F">
            <w:pPr>
              <w:pStyle w:val="14"/>
              <w:tabs>
                <w:tab w:val="left" w:pos="342"/>
              </w:tabs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4CE1D565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2912" w:type="dxa"/>
          </w:tcPr>
          <w:p w14:paraId="20897A9C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Глава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заместители руководителя Администрации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руководители структурных подразделений</w:t>
            </w:r>
          </w:p>
        </w:tc>
        <w:tc>
          <w:tcPr>
            <w:tcW w:w="2912" w:type="dxa"/>
          </w:tcPr>
          <w:p w14:paraId="2763A288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2DDB4058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выявленных нарушений АЗ</w:t>
            </w:r>
          </w:p>
        </w:tc>
      </w:tr>
      <w:tr w14:paraId="538B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BC92C97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Предоставление хозяйствующим субъектам доступа к информации в приоритетном порядке о предстоящих торгах по закупкам для муниципальных нужд, продаже (аренде) имущества, права на размещение объекта до официального размещения извещения)</w:t>
            </w:r>
          </w:p>
        </w:tc>
        <w:tc>
          <w:tcPr>
            <w:tcW w:w="2912" w:type="dxa"/>
          </w:tcPr>
          <w:p w14:paraId="53023A83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 xml:space="preserve">1. Повышение уровня квалификации должностных лиц. </w:t>
            </w:r>
          </w:p>
          <w:p w14:paraId="64649BB8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Мониторинг и анализ практики применения антимонопольного законодательства.</w:t>
            </w:r>
          </w:p>
        </w:tc>
        <w:tc>
          <w:tcPr>
            <w:tcW w:w="2912" w:type="dxa"/>
          </w:tcPr>
          <w:p w14:paraId="3DE6C931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Глава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заместители руководителя Администрации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руководители структурных подразделений</w:t>
            </w:r>
          </w:p>
        </w:tc>
        <w:tc>
          <w:tcPr>
            <w:tcW w:w="2912" w:type="dxa"/>
          </w:tcPr>
          <w:p w14:paraId="7BDDF8AE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18F071FB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41A8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56010C5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Заключение соглашений, договоров и контрактов, ограничивающих конкуренцию</w:t>
            </w:r>
          </w:p>
        </w:tc>
        <w:tc>
          <w:tcPr>
            <w:tcW w:w="2912" w:type="dxa"/>
          </w:tcPr>
          <w:p w14:paraId="0A25AC07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6D00439D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Проведение ежегодных рабочих совещаний по обсуждению результатов правоприменительной практики по вопросам антимонопольного комплаенса в Администрации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</w:t>
            </w:r>
          </w:p>
        </w:tc>
        <w:tc>
          <w:tcPr>
            <w:tcW w:w="2912" w:type="dxa"/>
          </w:tcPr>
          <w:p w14:paraId="6FE41F00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Глава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руководители структурных подразделений</w:t>
            </w:r>
          </w:p>
        </w:tc>
        <w:tc>
          <w:tcPr>
            <w:tcW w:w="2912" w:type="dxa"/>
          </w:tcPr>
          <w:p w14:paraId="013E771D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Организация работы структурных подразделений с учетом практики применения АЗ</w:t>
            </w:r>
          </w:p>
        </w:tc>
        <w:tc>
          <w:tcPr>
            <w:tcW w:w="2912" w:type="dxa"/>
          </w:tcPr>
          <w:p w14:paraId="7BCBF729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 законодательства, количество сотрудников, прошедших обучение</w:t>
            </w:r>
          </w:p>
        </w:tc>
      </w:tr>
      <w:tr w14:paraId="1CBA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FB8BE2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Проведение муниципальных проверок с нарушением порядка их проведения</w:t>
            </w:r>
          </w:p>
        </w:tc>
        <w:tc>
          <w:tcPr>
            <w:tcW w:w="2912" w:type="dxa"/>
          </w:tcPr>
          <w:p w14:paraId="4FB2A7F6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6B43AD38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Мониторинг и анализ практики применения АЗ</w:t>
            </w:r>
          </w:p>
        </w:tc>
        <w:tc>
          <w:tcPr>
            <w:tcW w:w="2912" w:type="dxa"/>
          </w:tcPr>
          <w:p w14:paraId="5DB39B93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Должностные лица, уполномоченные на проведение муниципальных проверок</w:t>
            </w:r>
          </w:p>
        </w:tc>
        <w:tc>
          <w:tcPr>
            <w:tcW w:w="2912" w:type="dxa"/>
          </w:tcPr>
          <w:p w14:paraId="4933D345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37B52C42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выявленных нарушений АЗ</w:t>
            </w:r>
          </w:p>
        </w:tc>
      </w:tr>
      <w:tr w14:paraId="5387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5BE91ADD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Истребование документов, не предусмотренных НПА (в том числе при проверках, закупках, продажах и передаче в пользование, оказании муниципальных услуг)</w:t>
            </w:r>
          </w:p>
        </w:tc>
        <w:tc>
          <w:tcPr>
            <w:tcW w:w="2912" w:type="dxa"/>
          </w:tcPr>
          <w:p w14:paraId="7C6256A0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  <w:p w14:paraId="3BE82A9A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Мониторинг и анализ практики применения АЗ</w:t>
            </w:r>
          </w:p>
        </w:tc>
        <w:tc>
          <w:tcPr>
            <w:tcW w:w="2912" w:type="dxa"/>
          </w:tcPr>
          <w:p w14:paraId="0CDEA0C4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Руководители структурных подразделений</w:t>
            </w:r>
          </w:p>
        </w:tc>
        <w:tc>
          <w:tcPr>
            <w:tcW w:w="2912" w:type="dxa"/>
          </w:tcPr>
          <w:p w14:paraId="658C0ABC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79ADA7BA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АЗ, количество сотрудников, прошедших обучение</w:t>
            </w:r>
          </w:p>
        </w:tc>
      </w:tr>
      <w:tr w14:paraId="7153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BCD09FD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</w:p>
        </w:tc>
        <w:tc>
          <w:tcPr>
            <w:tcW w:w="2912" w:type="dxa"/>
          </w:tcPr>
          <w:p w14:paraId="58B068DD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1. Повышение уровня квалификации должностных лиц.</w:t>
            </w:r>
          </w:p>
        </w:tc>
        <w:tc>
          <w:tcPr>
            <w:tcW w:w="2912" w:type="dxa"/>
          </w:tcPr>
          <w:p w14:paraId="279A6BA9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Глава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заместители главы Администрации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руководители структурных подразделений</w:t>
            </w:r>
          </w:p>
        </w:tc>
        <w:tc>
          <w:tcPr>
            <w:tcW w:w="2912" w:type="dxa"/>
          </w:tcPr>
          <w:p w14:paraId="0CE69239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3F309DC5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  <w:tr w14:paraId="3A6D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69E147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Передача функций органов местного самоуправления хозяйствующим субъектам</w:t>
            </w:r>
          </w:p>
        </w:tc>
        <w:tc>
          <w:tcPr>
            <w:tcW w:w="2912" w:type="dxa"/>
          </w:tcPr>
          <w:p w14:paraId="6F36D6EF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 xml:space="preserve">1. Повышение уровня квалификации должностных лиц. </w:t>
            </w:r>
          </w:p>
          <w:p w14:paraId="0F734DCC">
            <w:pPr>
              <w:pStyle w:val="14"/>
              <w:tabs>
                <w:tab w:val="left" w:pos="342"/>
              </w:tabs>
              <w:rPr>
                <w:rStyle w:val="13"/>
              </w:rPr>
            </w:pPr>
            <w:r>
              <w:rPr>
                <w:rStyle w:val="13"/>
              </w:rPr>
              <w:t>2. Анализ НПА на соответствие требованиям АЗ</w:t>
            </w:r>
          </w:p>
        </w:tc>
        <w:tc>
          <w:tcPr>
            <w:tcW w:w="2912" w:type="dxa"/>
          </w:tcPr>
          <w:p w14:paraId="71B1E736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Глава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заместители главы Администрации МО «</w:t>
            </w:r>
            <w:r>
              <w:rPr>
                <w:rStyle w:val="13"/>
                <w:lang w:val="ru-RU"/>
              </w:rPr>
              <w:t>Тарбагатайский</w:t>
            </w:r>
            <w:r>
              <w:rPr>
                <w:rStyle w:val="13"/>
              </w:rPr>
              <w:t xml:space="preserve"> район», руководители структурных подразделений</w:t>
            </w:r>
          </w:p>
        </w:tc>
        <w:tc>
          <w:tcPr>
            <w:tcW w:w="2912" w:type="dxa"/>
          </w:tcPr>
          <w:p w14:paraId="4BC1C844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рисков нарушения АЗ</w:t>
            </w:r>
          </w:p>
        </w:tc>
        <w:tc>
          <w:tcPr>
            <w:tcW w:w="2912" w:type="dxa"/>
          </w:tcPr>
          <w:p w14:paraId="5A1D0245">
            <w:pPr>
              <w:pStyle w:val="10"/>
              <w:spacing w:after="380" w:line="240" w:lineRule="auto"/>
              <w:ind w:firstLine="0"/>
              <w:rPr>
                <w:rStyle w:val="13"/>
              </w:rPr>
            </w:pPr>
            <w:r>
              <w:rPr>
                <w:rStyle w:val="13"/>
              </w:rPr>
              <w:t>Отсутствие выявленных нарушений АЗ, количество сотрудников, прошедших обучение</w:t>
            </w:r>
          </w:p>
        </w:tc>
      </w:tr>
    </w:tbl>
    <w:p w14:paraId="33176846">
      <w:pPr>
        <w:pStyle w:val="12"/>
        <w:spacing w:after="0"/>
        <w:ind w:left="0"/>
        <w:jc w:val="left"/>
        <w:rPr>
          <w:rStyle w:val="11"/>
        </w:rPr>
      </w:pPr>
    </w:p>
    <w:p w14:paraId="26EB0F32">
      <w:pPr>
        <w:pStyle w:val="12"/>
        <w:spacing w:after="0"/>
        <w:ind w:left="9680"/>
        <w:rPr>
          <w:rStyle w:val="11"/>
        </w:rPr>
      </w:pPr>
    </w:p>
    <w:p w14:paraId="478689F8">
      <w:pPr>
        <w:pStyle w:val="12"/>
        <w:spacing w:after="0"/>
        <w:ind w:left="9680"/>
        <w:rPr>
          <w:rStyle w:val="11"/>
        </w:rPr>
      </w:pPr>
    </w:p>
    <w:p w14:paraId="7A5FF670">
      <w:pPr>
        <w:pStyle w:val="12"/>
        <w:spacing w:after="0"/>
        <w:ind w:left="9680"/>
        <w:rPr>
          <w:rStyle w:val="11"/>
        </w:rPr>
      </w:pPr>
    </w:p>
    <w:p w14:paraId="3FE0F954">
      <w:pPr>
        <w:pStyle w:val="12"/>
        <w:spacing w:after="0"/>
        <w:ind w:left="9680"/>
        <w:rPr>
          <w:rStyle w:val="11"/>
        </w:rPr>
      </w:pPr>
    </w:p>
    <w:p w14:paraId="7A671373">
      <w:pPr>
        <w:pStyle w:val="12"/>
        <w:spacing w:after="0"/>
        <w:ind w:left="9680"/>
        <w:rPr>
          <w:rStyle w:val="11"/>
        </w:rPr>
      </w:pPr>
    </w:p>
    <w:p w14:paraId="5AC673AD">
      <w:pPr>
        <w:pStyle w:val="12"/>
        <w:spacing w:after="0"/>
        <w:ind w:left="9680"/>
        <w:rPr>
          <w:rStyle w:val="11"/>
        </w:rPr>
      </w:pPr>
    </w:p>
    <w:p w14:paraId="55F58841">
      <w:pPr>
        <w:pStyle w:val="12"/>
        <w:spacing w:after="0"/>
        <w:ind w:left="9680"/>
        <w:rPr>
          <w:rStyle w:val="11"/>
        </w:rPr>
      </w:pPr>
    </w:p>
    <w:p w14:paraId="3A8AA21A">
      <w:pPr>
        <w:pStyle w:val="12"/>
        <w:spacing w:after="0"/>
        <w:ind w:left="9680"/>
        <w:rPr>
          <w:rStyle w:val="11"/>
        </w:rPr>
      </w:pPr>
    </w:p>
    <w:p w14:paraId="57F1894E">
      <w:pPr>
        <w:pStyle w:val="12"/>
        <w:spacing w:after="0"/>
        <w:ind w:left="9680"/>
        <w:rPr>
          <w:rStyle w:val="11"/>
        </w:rPr>
      </w:pPr>
    </w:p>
    <w:p w14:paraId="526B1E90">
      <w:pPr>
        <w:pStyle w:val="12"/>
        <w:spacing w:after="0"/>
        <w:ind w:left="9680"/>
        <w:rPr>
          <w:rStyle w:val="11"/>
        </w:rPr>
      </w:pPr>
    </w:p>
    <w:p w14:paraId="2BD6657E">
      <w:pPr>
        <w:pStyle w:val="12"/>
        <w:spacing w:after="0"/>
        <w:ind w:left="9680"/>
        <w:rPr>
          <w:rStyle w:val="11"/>
        </w:rPr>
      </w:pPr>
    </w:p>
    <w:p w14:paraId="7C6831D8">
      <w:pPr>
        <w:pStyle w:val="12"/>
        <w:spacing w:after="0"/>
        <w:ind w:left="9680"/>
        <w:rPr>
          <w:rStyle w:val="11"/>
        </w:rPr>
      </w:pPr>
    </w:p>
    <w:p w14:paraId="55CFAAC0">
      <w:pPr>
        <w:pStyle w:val="12"/>
        <w:spacing w:after="0"/>
        <w:ind w:left="9680"/>
        <w:rPr>
          <w:rStyle w:val="11"/>
        </w:rPr>
      </w:pPr>
    </w:p>
    <w:p w14:paraId="301B75AF">
      <w:pPr>
        <w:pStyle w:val="12"/>
        <w:spacing w:after="0"/>
        <w:ind w:left="9680"/>
        <w:rPr>
          <w:rStyle w:val="11"/>
        </w:rPr>
      </w:pPr>
    </w:p>
    <w:p w14:paraId="42C4A1D8">
      <w:pPr>
        <w:pStyle w:val="12"/>
        <w:spacing w:after="0"/>
        <w:ind w:left="9680"/>
        <w:rPr>
          <w:rStyle w:val="11"/>
        </w:rPr>
      </w:pPr>
    </w:p>
    <w:p w14:paraId="06AB1307">
      <w:pPr>
        <w:pStyle w:val="12"/>
        <w:spacing w:after="0"/>
        <w:ind w:left="9680"/>
        <w:rPr>
          <w:rStyle w:val="11"/>
        </w:rPr>
      </w:pPr>
    </w:p>
    <w:p w14:paraId="4546DD9E">
      <w:pPr>
        <w:pStyle w:val="12"/>
        <w:spacing w:after="0"/>
        <w:ind w:left="9680"/>
        <w:rPr>
          <w:rStyle w:val="11"/>
        </w:rPr>
      </w:pPr>
    </w:p>
    <w:p w14:paraId="59A9DA73">
      <w:pPr>
        <w:pStyle w:val="12"/>
        <w:spacing w:after="0"/>
        <w:ind w:left="9680"/>
        <w:rPr>
          <w:rStyle w:val="11"/>
        </w:rPr>
      </w:pPr>
    </w:p>
    <w:p w14:paraId="5C60ACF4">
      <w:pPr>
        <w:pStyle w:val="12"/>
        <w:spacing w:after="0"/>
        <w:ind w:left="9680"/>
        <w:rPr>
          <w:rStyle w:val="11"/>
        </w:rPr>
      </w:pPr>
    </w:p>
    <w:p w14:paraId="04C047B3">
      <w:pPr>
        <w:pStyle w:val="12"/>
        <w:spacing w:after="0"/>
        <w:ind w:left="9680"/>
        <w:rPr>
          <w:rStyle w:val="11"/>
        </w:rPr>
      </w:pPr>
    </w:p>
    <w:p w14:paraId="55819710">
      <w:pPr>
        <w:pStyle w:val="12"/>
        <w:spacing w:after="0"/>
        <w:ind w:left="9680"/>
        <w:rPr>
          <w:rStyle w:val="11"/>
        </w:rPr>
      </w:pPr>
    </w:p>
    <w:p w14:paraId="2F77E0E5">
      <w:pPr>
        <w:pStyle w:val="12"/>
        <w:spacing w:after="0"/>
        <w:ind w:left="9680"/>
        <w:rPr>
          <w:rStyle w:val="11"/>
        </w:rPr>
      </w:pPr>
    </w:p>
    <w:p w14:paraId="3E747A99">
      <w:pPr>
        <w:pStyle w:val="10"/>
        <w:spacing w:line="240" w:lineRule="auto"/>
        <w:ind w:firstLine="0"/>
        <w:jc w:val="right"/>
        <w:rPr>
          <w:rStyle w:val="9"/>
          <w:sz w:val="20"/>
          <w:szCs w:val="20"/>
        </w:rPr>
      </w:pPr>
    </w:p>
    <w:p w14:paraId="76B382F3"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3A"/>
    <w:rsid w:val="001157CA"/>
    <w:rsid w:val="00131D98"/>
    <w:rsid w:val="00232863"/>
    <w:rsid w:val="002650E3"/>
    <w:rsid w:val="0029208F"/>
    <w:rsid w:val="003052A6"/>
    <w:rsid w:val="003D6BFE"/>
    <w:rsid w:val="0046408B"/>
    <w:rsid w:val="005F40E7"/>
    <w:rsid w:val="0061488E"/>
    <w:rsid w:val="00710037"/>
    <w:rsid w:val="00962BE1"/>
    <w:rsid w:val="00A051E2"/>
    <w:rsid w:val="00A2547B"/>
    <w:rsid w:val="00B031A2"/>
    <w:rsid w:val="00B92D01"/>
    <w:rsid w:val="00BF19C0"/>
    <w:rsid w:val="00C544F2"/>
    <w:rsid w:val="00D8663A"/>
    <w:rsid w:val="00E30AC7"/>
    <w:rsid w:val="00E457EE"/>
    <w:rsid w:val="00E52A15"/>
    <w:rsid w:val="00F57AC7"/>
    <w:rsid w:val="00FB74D6"/>
    <w:rsid w:val="1FF7291E"/>
    <w:rsid w:val="3A5539BA"/>
    <w:rsid w:val="3CFB27AC"/>
    <w:rsid w:val="6AD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_"/>
    <w:basedOn w:val="3"/>
    <w:link w:val="10"/>
    <w:qFormat/>
    <w:uiPriority w:val="0"/>
    <w:rPr>
      <w:rFonts w:ascii="Times New Roman" w:hAnsi="Times New Roman" w:eastAsia="Times New Roman" w:cs="Times New Roman"/>
    </w:rPr>
  </w:style>
  <w:style w:type="paragraph" w:customStyle="1" w:styleId="10">
    <w:name w:val="Основной текст1"/>
    <w:basedOn w:val="1"/>
    <w:link w:val="9"/>
    <w:qFormat/>
    <w:uiPriority w:val="0"/>
    <w:pPr>
      <w:widowControl w:val="0"/>
      <w:spacing w:after="0" w:line="257" w:lineRule="auto"/>
      <w:ind w:firstLine="350"/>
    </w:pPr>
    <w:rPr>
      <w:rFonts w:ascii="Times New Roman" w:hAnsi="Times New Roman" w:eastAsia="Times New Roman" w:cs="Times New Roman"/>
    </w:rPr>
  </w:style>
  <w:style w:type="character" w:customStyle="1" w:styleId="11">
    <w:name w:val="Основной текст (2)_"/>
    <w:basedOn w:val="3"/>
    <w:link w:val="1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2">
    <w:name w:val="Основной текст (2)"/>
    <w:basedOn w:val="1"/>
    <w:link w:val="11"/>
    <w:qFormat/>
    <w:uiPriority w:val="0"/>
    <w:pPr>
      <w:widowControl w:val="0"/>
      <w:spacing w:after="320" w:line="240" w:lineRule="auto"/>
      <w:ind w:left="9560"/>
      <w:jc w:val="right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Другое_"/>
    <w:basedOn w:val="3"/>
    <w:link w:val="14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4">
    <w:name w:val="Другое"/>
    <w:basedOn w:val="1"/>
    <w:link w:val="13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5">
    <w:name w:val="Заголовок №1_"/>
    <w:basedOn w:val="3"/>
    <w:link w:val="16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6">
    <w:name w:val="Заголовок №1"/>
    <w:basedOn w:val="1"/>
    <w:link w:val="15"/>
    <w:qFormat/>
    <w:uiPriority w:val="0"/>
    <w:pPr>
      <w:widowControl w:val="0"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7">
    <w:name w:val="Заголовок №2_"/>
    <w:basedOn w:val="3"/>
    <w:link w:val="18"/>
    <w:qFormat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18">
    <w:name w:val="Заголовок №2"/>
    <w:basedOn w:val="1"/>
    <w:link w:val="17"/>
    <w:qFormat/>
    <w:uiPriority w:val="0"/>
    <w:pPr>
      <w:widowControl w:val="0"/>
      <w:spacing w:after="120" w:line="240" w:lineRule="auto"/>
      <w:jc w:val="center"/>
      <w:outlineLvl w:val="1"/>
    </w:pPr>
    <w:rPr>
      <w:rFonts w:ascii="Times New Roman" w:hAnsi="Times New Roman" w:eastAsia="Times New Roman" w:cs="Times New Roman"/>
      <w:b/>
      <w:bCs/>
    </w:rPr>
  </w:style>
  <w:style w:type="character" w:customStyle="1" w:styleId="19">
    <w:name w:val="Верхний колонтитул Знак"/>
    <w:basedOn w:val="3"/>
    <w:link w:val="6"/>
    <w:qFormat/>
    <w:uiPriority w:val="99"/>
  </w:style>
  <w:style w:type="character" w:customStyle="1" w:styleId="20">
    <w:name w:val="Нижний колонтитул Знак"/>
    <w:basedOn w:val="3"/>
    <w:link w:val="7"/>
    <w:qFormat/>
    <w:uiPriority w:val="99"/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2255</Words>
  <Characters>12859</Characters>
  <Lines>107</Lines>
  <Paragraphs>30</Paragraphs>
  <TotalTime>315</TotalTime>
  <ScaleCrop>false</ScaleCrop>
  <LinksUpToDate>false</LinksUpToDate>
  <CharactersWithSpaces>15084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2024-02-07T03:28:00Z</dcterms:created>
  <dc:creator>Дмитрий С. Булыгин</dc:creator>
  <cp:lastModifiedBy>123</cp:lastModifiedBy>
  <cp:lastPrinted>2025-10-15T03:07:00Z</cp:lastPrinted>
  <dcterms:modified xsi:type="dcterms:W3CDTF">2025-12-19T00:39:24Z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CE6B8F13F1D94D009BDB65A11C834C08_12</vt:lpwstr>
  </property>
</Properties>
</file>