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277C">
      <w:pPr>
        <w:pStyle w:val="8"/>
        <w:spacing w:line="240" w:lineRule="auto"/>
        <w:ind w:firstLine="0"/>
        <w:jc w:val="right"/>
        <w:rPr>
          <w:rStyle w:val="9"/>
          <w:sz w:val="20"/>
          <w:szCs w:val="20"/>
        </w:rPr>
      </w:pPr>
      <w:bookmarkStart w:id="0" w:name="_GoBack"/>
      <w:bookmarkEnd w:id="0"/>
      <w:r>
        <w:rPr>
          <w:rStyle w:val="9"/>
          <w:sz w:val="20"/>
          <w:szCs w:val="20"/>
        </w:rPr>
        <w:t>Приложение 3</w:t>
      </w:r>
    </w:p>
    <w:p w14:paraId="76F4D62B">
      <w:pPr>
        <w:pStyle w:val="8"/>
        <w:spacing w:line="240" w:lineRule="auto"/>
        <w:ind w:firstLine="0"/>
        <w:jc w:val="right"/>
        <w:rPr>
          <w:rStyle w:val="9"/>
          <w:sz w:val="20"/>
          <w:szCs w:val="20"/>
        </w:rPr>
      </w:pPr>
      <w:r>
        <w:rPr>
          <w:rStyle w:val="9"/>
          <w:sz w:val="20"/>
          <w:szCs w:val="20"/>
        </w:rPr>
        <w:t xml:space="preserve"> к Распоряжению Администрации </w:t>
      </w:r>
    </w:p>
    <w:p w14:paraId="3E4148C9">
      <w:pPr>
        <w:pStyle w:val="8"/>
        <w:spacing w:line="240" w:lineRule="auto"/>
        <w:ind w:firstLine="0"/>
        <w:jc w:val="right"/>
        <w:rPr>
          <w:rStyle w:val="9"/>
          <w:sz w:val="20"/>
          <w:szCs w:val="20"/>
        </w:rPr>
      </w:pPr>
      <w:r>
        <w:rPr>
          <w:rStyle w:val="9"/>
          <w:sz w:val="20"/>
          <w:szCs w:val="20"/>
        </w:rPr>
        <w:t>муниципального образования «</w:t>
      </w:r>
      <w:r>
        <w:rPr>
          <w:rStyle w:val="9"/>
          <w:sz w:val="20"/>
          <w:szCs w:val="20"/>
          <w:lang w:val="ru-RU"/>
        </w:rPr>
        <w:t>Тарбагатайский</w:t>
      </w:r>
      <w:r>
        <w:rPr>
          <w:rStyle w:val="9"/>
          <w:sz w:val="20"/>
          <w:szCs w:val="20"/>
        </w:rPr>
        <w:t xml:space="preserve"> район» </w:t>
      </w:r>
    </w:p>
    <w:p w14:paraId="7612DF24">
      <w:pPr>
        <w:ind w:right="-31"/>
        <w:jc w:val="right"/>
        <w:rPr>
          <w:rFonts w:hint="default"/>
          <w:sz w:val="20"/>
          <w:szCs w:val="20"/>
          <w:u w:val="single"/>
          <w:lang w:val="ru-RU"/>
        </w:rPr>
      </w:pPr>
      <w:r>
        <w:rPr>
          <w:rFonts w:hint="default"/>
          <w:sz w:val="20"/>
          <w:szCs w:val="20"/>
          <w:u w:val="single"/>
          <w:lang w:val="ru-RU"/>
        </w:rPr>
        <w:t>328</w:t>
      </w:r>
      <w:r>
        <w:rPr>
          <w:sz w:val="20"/>
          <w:szCs w:val="20"/>
          <w:u w:val="single"/>
        </w:rPr>
        <w:t xml:space="preserve">-р от </w:t>
      </w:r>
      <w:r>
        <w:rPr>
          <w:rFonts w:hint="default"/>
          <w:sz w:val="20"/>
          <w:szCs w:val="20"/>
          <w:u w:val="single"/>
          <w:lang w:val="ru-RU"/>
        </w:rPr>
        <w:t>08</w:t>
      </w:r>
      <w:r>
        <w:rPr>
          <w:sz w:val="20"/>
          <w:szCs w:val="20"/>
          <w:u w:val="single"/>
        </w:rPr>
        <w:t>.</w:t>
      </w:r>
      <w:r>
        <w:rPr>
          <w:rFonts w:hint="default"/>
          <w:sz w:val="20"/>
          <w:szCs w:val="20"/>
          <w:u w:val="single"/>
          <w:lang w:val="ru-RU"/>
        </w:rPr>
        <w:t>10</w:t>
      </w:r>
      <w:r>
        <w:rPr>
          <w:sz w:val="20"/>
          <w:szCs w:val="20"/>
          <w:u w:val="single"/>
        </w:rPr>
        <w:t>.202</w:t>
      </w:r>
      <w:r>
        <w:rPr>
          <w:rFonts w:hint="default"/>
          <w:sz w:val="20"/>
          <w:szCs w:val="20"/>
          <w:u w:val="single"/>
          <w:lang w:val="ru-RU"/>
        </w:rPr>
        <w:t>5</w:t>
      </w:r>
    </w:p>
    <w:p w14:paraId="0A677CF8">
      <w:pPr>
        <w:pStyle w:val="8"/>
        <w:spacing w:line="240" w:lineRule="auto"/>
        <w:ind w:firstLine="0"/>
        <w:jc w:val="right"/>
        <w:rPr>
          <w:rStyle w:val="9"/>
          <w:sz w:val="20"/>
          <w:szCs w:val="20"/>
        </w:rPr>
      </w:pPr>
    </w:p>
    <w:p w14:paraId="714E9AB4">
      <w:pPr>
        <w:pStyle w:val="6"/>
        <w:ind w:left="9460"/>
      </w:pPr>
    </w:p>
    <w:p w14:paraId="34706F98">
      <w:pPr>
        <w:pStyle w:val="8"/>
        <w:spacing w:line="240" w:lineRule="auto"/>
        <w:ind w:firstLine="0"/>
        <w:jc w:val="center"/>
      </w:pPr>
      <w:r>
        <w:rPr>
          <w:rStyle w:val="9"/>
          <w:b/>
          <w:bCs/>
        </w:rPr>
        <w:t>Перечень</w:t>
      </w:r>
    </w:p>
    <w:p w14:paraId="777935F6">
      <w:pPr>
        <w:pStyle w:val="8"/>
        <w:spacing w:line="240" w:lineRule="auto"/>
        <w:ind w:firstLine="0"/>
        <w:jc w:val="center"/>
      </w:pPr>
      <w:r>
        <w:rPr>
          <w:rStyle w:val="9"/>
          <w:b/>
          <w:bCs/>
        </w:rPr>
        <w:t>ключевых показателей эффективности антимонопольного комплаенса</w:t>
      </w:r>
    </w:p>
    <w:p w14:paraId="390A67F7">
      <w:pPr>
        <w:pStyle w:val="8"/>
        <w:spacing w:after="120" w:line="240" w:lineRule="auto"/>
        <w:ind w:firstLine="0"/>
        <w:jc w:val="center"/>
      </w:pPr>
      <w:r>
        <w:rPr>
          <w:rStyle w:val="9"/>
          <w:b/>
          <w:bCs/>
        </w:rPr>
        <w:t>в муниципальном образовании «</w:t>
      </w:r>
      <w:r>
        <w:rPr>
          <w:rStyle w:val="9"/>
          <w:b/>
          <w:bCs/>
          <w:lang w:val="ru-RU"/>
        </w:rPr>
        <w:t>Тарбагатайский</w:t>
      </w:r>
      <w:r>
        <w:rPr>
          <w:rStyle w:val="9"/>
          <w:b/>
          <w:bCs/>
        </w:rPr>
        <w:t xml:space="preserve"> район»</w:t>
      </w:r>
      <w:r>
        <w:rPr>
          <w:rStyle w:val="9"/>
          <w:b/>
          <w:bCs/>
        </w:rPr>
        <w:br w:type="textWrapping"/>
      </w:r>
      <w:r>
        <w:rPr>
          <w:rStyle w:val="9"/>
          <w:b/>
          <w:bCs/>
        </w:rPr>
        <w:t>на 202</w:t>
      </w:r>
      <w:r>
        <w:rPr>
          <w:rStyle w:val="9"/>
          <w:rFonts w:hint="default"/>
          <w:b/>
          <w:bCs/>
          <w:lang w:val="ru-RU"/>
        </w:rPr>
        <w:t>5</w:t>
      </w:r>
      <w:r>
        <w:rPr>
          <w:rStyle w:val="9"/>
          <w:b/>
          <w:bCs/>
        </w:rPr>
        <w:t xml:space="preserve"> год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718"/>
        <w:gridCol w:w="4854"/>
      </w:tblGrid>
      <w:tr w14:paraId="17E2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4D899F7">
            <w:pPr>
              <w:spacing w:after="0" w:line="240" w:lineRule="auto"/>
              <w:jc w:val="center"/>
            </w:pPr>
            <w:r>
              <w:rPr>
                <w:rStyle w:val="10"/>
                <w:rFonts w:eastAsiaTheme="minorHAnsi"/>
              </w:rPr>
              <w:t>№ п/п</w:t>
            </w:r>
          </w:p>
        </w:tc>
        <w:tc>
          <w:tcPr>
            <w:tcW w:w="8718" w:type="dxa"/>
          </w:tcPr>
          <w:p w14:paraId="45F08128">
            <w:pPr>
              <w:spacing w:after="0" w:line="240" w:lineRule="auto"/>
              <w:jc w:val="center"/>
            </w:pPr>
            <w:r>
              <w:rPr>
                <w:rStyle w:val="10"/>
                <w:rFonts w:eastAsiaTheme="minorHAnsi"/>
              </w:rPr>
              <w:t>Наименование ключевого показателя</w:t>
            </w:r>
          </w:p>
        </w:tc>
        <w:tc>
          <w:tcPr>
            <w:tcW w:w="4854" w:type="dxa"/>
          </w:tcPr>
          <w:p w14:paraId="56A4393E">
            <w:pPr>
              <w:spacing w:after="0" w:line="240" w:lineRule="auto"/>
              <w:jc w:val="center"/>
            </w:pPr>
            <w:r>
              <w:rPr>
                <w:rStyle w:val="10"/>
                <w:rFonts w:eastAsiaTheme="minorHAnsi"/>
              </w:rPr>
              <w:t>Определение значения ключевого показателя (балл)</w:t>
            </w:r>
          </w:p>
        </w:tc>
      </w:tr>
      <w:tr w14:paraId="7C07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BF3F830">
            <w:pPr>
              <w:pStyle w:val="12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718" w:type="dxa"/>
          </w:tcPr>
          <w:p w14:paraId="572CA985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Наличие утвержденного НПА об антимонопольном комплаенсе</w:t>
            </w:r>
          </w:p>
        </w:tc>
        <w:tc>
          <w:tcPr>
            <w:tcW w:w="4854" w:type="dxa"/>
          </w:tcPr>
          <w:p w14:paraId="56547B50">
            <w:pPr>
              <w:pStyle w:val="11"/>
            </w:pPr>
            <w:r>
              <w:rPr>
                <w:rStyle w:val="10"/>
              </w:rPr>
              <w:t>0 – НПА не принят;</w:t>
            </w:r>
          </w:p>
          <w:p w14:paraId="04F2FDE1">
            <w:pPr>
              <w:pStyle w:val="11"/>
              <w:numPr>
                <w:ilvl w:val="0"/>
                <w:numId w:val="2"/>
              </w:numPr>
              <w:tabs>
                <w:tab w:val="left" w:pos="125"/>
              </w:tabs>
            </w:pPr>
            <w:r>
              <w:rPr>
                <w:rStyle w:val="10"/>
              </w:rPr>
              <w:t>– НПА принят;</w:t>
            </w:r>
          </w:p>
          <w:p w14:paraId="1D5E63F9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2 – в отчетном периоде в НПА вносились изменения, направленные на совершенствование системы антимонопольного комплаенса</w:t>
            </w:r>
          </w:p>
        </w:tc>
      </w:tr>
      <w:tr w14:paraId="4104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2347064">
            <w:pPr>
              <w:pStyle w:val="12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718" w:type="dxa"/>
          </w:tcPr>
          <w:p w14:paraId="1D45925F">
            <w:pPr>
              <w:tabs>
                <w:tab w:val="left" w:pos="1560"/>
              </w:tabs>
              <w:spacing w:after="0" w:line="240" w:lineRule="auto"/>
            </w:pPr>
            <w:r>
              <w:rPr>
                <w:rStyle w:val="10"/>
                <w:rFonts w:eastAsiaTheme="minorHAnsi"/>
              </w:rPr>
              <w:t>Определение уполномоченных подразделений</w:t>
            </w:r>
          </w:p>
        </w:tc>
        <w:tc>
          <w:tcPr>
            <w:tcW w:w="4854" w:type="dxa"/>
          </w:tcPr>
          <w:p w14:paraId="188C83CF">
            <w:pPr>
              <w:pStyle w:val="11"/>
            </w:pPr>
            <w:r>
              <w:rPr>
                <w:rStyle w:val="10"/>
              </w:rPr>
              <w:t>0 – уполномоченные подразделения не определены;</w:t>
            </w:r>
          </w:p>
          <w:p w14:paraId="14D70324">
            <w:pPr>
              <w:pStyle w:val="11"/>
              <w:numPr>
                <w:ilvl w:val="0"/>
                <w:numId w:val="3"/>
              </w:numPr>
              <w:tabs>
                <w:tab w:val="left" w:pos="168"/>
              </w:tabs>
            </w:pPr>
            <w:r>
              <w:rPr>
                <w:rStyle w:val="10"/>
              </w:rPr>
              <w:t>– уполномоченные подразделения определены;</w:t>
            </w:r>
          </w:p>
          <w:p w14:paraId="5CEEEA2A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2 – уполномоченные подразделения определены и ведут активную работу по профилактике и предупреждению нарушений</w:t>
            </w:r>
          </w:p>
        </w:tc>
      </w:tr>
      <w:tr w14:paraId="121A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D2DBCC4">
            <w:pPr>
              <w:pStyle w:val="12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718" w:type="dxa"/>
          </w:tcPr>
          <w:p w14:paraId="4DFF64C8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Утверждение карты комплаенс-рисков</w:t>
            </w:r>
          </w:p>
        </w:tc>
        <w:tc>
          <w:tcPr>
            <w:tcW w:w="4854" w:type="dxa"/>
          </w:tcPr>
          <w:p w14:paraId="08390C03">
            <w:pPr>
              <w:pStyle w:val="11"/>
            </w:pPr>
            <w:r>
              <w:rPr>
                <w:rStyle w:val="10"/>
              </w:rPr>
              <w:t>0 – карта не утверждена;</w:t>
            </w:r>
          </w:p>
          <w:p w14:paraId="0C3EE03C">
            <w:pPr>
              <w:pStyle w:val="11"/>
              <w:numPr>
                <w:ilvl w:val="0"/>
                <w:numId w:val="4"/>
              </w:numPr>
              <w:tabs>
                <w:tab w:val="left" w:pos="125"/>
              </w:tabs>
            </w:pPr>
            <w:r>
              <w:rPr>
                <w:rStyle w:val="10"/>
              </w:rPr>
              <w:t xml:space="preserve"> – карта утверждена;</w:t>
            </w:r>
          </w:p>
          <w:p w14:paraId="5338E781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2 – карта рисков ежегодно актуализируется</w:t>
            </w:r>
          </w:p>
        </w:tc>
      </w:tr>
      <w:tr w14:paraId="554F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8229A14">
            <w:pPr>
              <w:pStyle w:val="12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718" w:type="dxa"/>
          </w:tcPr>
          <w:p w14:paraId="659A4A9D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Работа по выявлению и оценке рисков нарушения АЗ, учет обстоятельств, связанных с рисками нарушения, определение вероятности их возникновения (в том числе за предшествующие 3 года)</w:t>
            </w:r>
          </w:p>
        </w:tc>
        <w:tc>
          <w:tcPr>
            <w:tcW w:w="4854" w:type="dxa"/>
          </w:tcPr>
          <w:p w14:paraId="705F28AC">
            <w:pPr>
              <w:pStyle w:val="11"/>
            </w:pPr>
            <w:r>
              <w:rPr>
                <w:rStyle w:val="10"/>
              </w:rPr>
              <w:t>0 – работа по выявлению рисков не проводится;</w:t>
            </w:r>
          </w:p>
          <w:p w14:paraId="33456FC6">
            <w:pPr>
              <w:pStyle w:val="11"/>
              <w:numPr>
                <w:ilvl w:val="0"/>
                <w:numId w:val="5"/>
              </w:numPr>
              <w:tabs>
                <w:tab w:val="left" w:pos="125"/>
              </w:tabs>
            </w:pPr>
            <w:r>
              <w:rPr>
                <w:rStyle w:val="10"/>
              </w:rPr>
              <w:t>– работа по выявлению рисков проводится периодически;</w:t>
            </w:r>
          </w:p>
          <w:p w14:paraId="490E55EC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2 – работа по выявлению рисков проводится на постоянной основе, анализируется вероятность их возникновения</w:t>
            </w:r>
          </w:p>
        </w:tc>
      </w:tr>
      <w:tr w14:paraId="4A54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859640F">
            <w:pPr>
              <w:pStyle w:val="12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718" w:type="dxa"/>
          </w:tcPr>
          <w:p w14:paraId="3BBFD9FA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Мониторинг и анализ практики применения АЗ в муниципальном образовании</w:t>
            </w:r>
          </w:p>
        </w:tc>
        <w:tc>
          <w:tcPr>
            <w:tcW w:w="4854" w:type="dxa"/>
          </w:tcPr>
          <w:p w14:paraId="235C9A7F">
            <w:pPr>
              <w:pStyle w:val="11"/>
            </w:pPr>
            <w:r>
              <w:rPr>
                <w:rStyle w:val="10"/>
              </w:rPr>
              <w:t>0 – мониторинг и анализ не проводится;</w:t>
            </w:r>
          </w:p>
          <w:p w14:paraId="7FEE4D16">
            <w:pPr>
              <w:pStyle w:val="11"/>
              <w:numPr>
                <w:ilvl w:val="0"/>
                <w:numId w:val="6"/>
              </w:numPr>
              <w:tabs>
                <w:tab w:val="left" w:pos="125"/>
              </w:tabs>
            </w:pPr>
            <w:r>
              <w:rPr>
                <w:rStyle w:val="10"/>
              </w:rPr>
              <w:t>– мониторинг и анализ проводился только при внедрении комплаенса;</w:t>
            </w:r>
          </w:p>
          <w:p w14:paraId="733940E3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2 – мониторинг и анализ проводится на постоянной основе, анализируется вероятность возникновения нарушений АЗ</w:t>
            </w:r>
          </w:p>
        </w:tc>
      </w:tr>
      <w:tr w14:paraId="3603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83CA16E">
            <w:pPr>
              <w:pStyle w:val="12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718" w:type="dxa"/>
          </w:tcPr>
          <w:p w14:paraId="6FA2C38A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Утверждение плана мероприятий («дорожной карты») по снижению комплаенс-рисков</w:t>
            </w:r>
          </w:p>
        </w:tc>
        <w:tc>
          <w:tcPr>
            <w:tcW w:w="4854" w:type="dxa"/>
          </w:tcPr>
          <w:p w14:paraId="007AF44A">
            <w:pPr>
              <w:pStyle w:val="11"/>
            </w:pPr>
            <w:r>
              <w:rPr>
                <w:rStyle w:val="10"/>
              </w:rPr>
              <w:t>0 – план мероприятий не утвержден;</w:t>
            </w:r>
          </w:p>
          <w:p w14:paraId="2510AD52">
            <w:pPr>
              <w:pStyle w:val="11"/>
              <w:numPr>
                <w:ilvl w:val="0"/>
                <w:numId w:val="7"/>
              </w:numPr>
              <w:tabs>
                <w:tab w:val="left" w:pos="125"/>
              </w:tabs>
            </w:pPr>
            <w:r>
              <w:rPr>
                <w:rStyle w:val="10"/>
              </w:rPr>
              <w:t>– план мероприятий утвержден;</w:t>
            </w:r>
          </w:p>
          <w:p w14:paraId="0F49C3DC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2 – план мероприятий ежегодно актуализируется</w:t>
            </w:r>
          </w:p>
        </w:tc>
      </w:tr>
      <w:tr w14:paraId="37C3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458B951">
            <w:pPr>
              <w:pStyle w:val="12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718" w:type="dxa"/>
          </w:tcPr>
          <w:p w14:paraId="264CB8DA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Обучение служащих Администрации МО «</w:t>
            </w:r>
            <w:r>
              <w:rPr>
                <w:rStyle w:val="10"/>
                <w:rFonts w:ascii="Times New Roman"/>
                <w:lang w:val="ru-RU"/>
              </w:rPr>
              <w:t>Тарбагатайский</w:t>
            </w:r>
            <w:r>
              <w:rPr>
                <w:rStyle w:val="10"/>
                <w:rFonts w:eastAsiaTheme="minorHAnsi"/>
              </w:rPr>
              <w:t xml:space="preserve"> район» требованиям АЗ и антимонопольного комплаенса</w:t>
            </w:r>
          </w:p>
        </w:tc>
        <w:tc>
          <w:tcPr>
            <w:tcW w:w="4854" w:type="dxa"/>
          </w:tcPr>
          <w:p w14:paraId="637BC5A9">
            <w:pPr>
              <w:pStyle w:val="11"/>
            </w:pPr>
            <w:r>
              <w:rPr>
                <w:rStyle w:val="10"/>
              </w:rPr>
              <w:t>0 – обучение не проводится;</w:t>
            </w:r>
          </w:p>
          <w:p w14:paraId="438E92A3">
            <w:pPr>
              <w:pStyle w:val="11"/>
              <w:numPr>
                <w:ilvl w:val="0"/>
                <w:numId w:val="8"/>
              </w:numPr>
              <w:tabs>
                <w:tab w:val="left" w:pos="125"/>
              </w:tabs>
            </w:pPr>
            <w:r>
              <w:rPr>
                <w:rStyle w:val="10"/>
              </w:rPr>
              <w:t>– проводится вводный (первичный) инструктаж;</w:t>
            </w:r>
          </w:p>
          <w:p w14:paraId="2441A815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2 – проводится вводный и целевой (внеплановый) инструктаж</w:t>
            </w:r>
          </w:p>
        </w:tc>
      </w:tr>
      <w:tr w14:paraId="0587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1DF21F2">
            <w:pPr>
              <w:pStyle w:val="12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718" w:type="dxa"/>
          </w:tcPr>
          <w:p w14:paraId="0D58FFF6">
            <w:pPr>
              <w:spacing w:after="0" w:line="240" w:lineRule="auto"/>
              <w:rPr>
                <w:rStyle w:val="10"/>
                <w:rFonts w:eastAsiaTheme="minorHAnsi"/>
              </w:rPr>
            </w:pPr>
            <w:r>
              <w:rPr>
                <w:rStyle w:val="10"/>
                <w:rFonts w:eastAsiaTheme="minorHAnsi"/>
              </w:rPr>
              <w:t>Консультирование служащих и руководства по вопросам, связанным с антимонопольным комплаенсом</w:t>
            </w:r>
          </w:p>
        </w:tc>
        <w:tc>
          <w:tcPr>
            <w:tcW w:w="4854" w:type="dxa"/>
          </w:tcPr>
          <w:p w14:paraId="26BDF8B8">
            <w:pPr>
              <w:pStyle w:val="11"/>
            </w:pPr>
            <w:r>
              <w:rPr>
                <w:rStyle w:val="10"/>
              </w:rPr>
              <w:t>0 – консультирование не проводится;</w:t>
            </w:r>
          </w:p>
          <w:p w14:paraId="6FFFA384">
            <w:pPr>
              <w:pStyle w:val="11"/>
              <w:numPr>
                <w:ilvl w:val="0"/>
                <w:numId w:val="9"/>
              </w:numPr>
              <w:tabs>
                <w:tab w:val="left" w:pos="125"/>
              </w:tabs>
            </w:pPr>
            <w:r>
              <w:rPr>
                <w:rStyle w:val="10"/>
              </w:rPr>
              <w:t>– консультирование проводится;</w:t>
            </w:r>
          </w:p>
          <w:p w14:paraId="0CF0B5EE">
            <w:pPr>
              <w:pStyle w:val="11"/>
              <w:rPr>
                <w:rStyle w:val="10"/>
              </w:rPr>
            </w:pPr>
            <w:r>
              <w:rPr>
                <w:rStyle w:val="10"/>
              </w:rPr>
              <w:t>2 – консультирование проводится, обобщаются и анализируются вопросы, по которым проводятся консультирование</w:t>
            </w:r>
          </w:p>
        </w:tc>
      </w:tr>
      <w:tr w14:paraId="730A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DDD4828">
            <w:pPr>
              <w:pStyle w:val="12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718" w:type="dxa"/>
          </w:tcPr>
          <w:p w14:paraId="2A3D77F1">
            <w:pPr>
              <w:spacing w:after="0" w:line="240" w:lineRule="auto"/>
              <w:rPr>
                <w:rStyle w:val="10"/>
                <w:rFonts w:eastAsiaTheme="minorHAnsi"/>
              </w:rPr>
            </w:pPr>
            <w:r>
              <w:rPr>
                <w:rStyle w:val="10"/>
                <w:rFonts w:eastAsiaTheme="minorHAnsi"/>
              </w:rPr>
              <w:t>Размещение НПА, изданных Администрацией МО «</w:t>
            </w:r>
            <w:r>
              <w:rPr>
                <w:rStyle w:val="10"/>
                <w:rFonts w:ascii="Times New Roman"/>
                <w:lang w:val="ru-RU"/>
              </w:rPr>
              <w:t>Тарбагатайский</w:t>
            </w:r>
            <w:r>
              <w:rPr>
                <w:rStyle w:val="10"/>
                <w:rFonts w:eastAsiaTheme="minorHAnsi"/>
              </w:rPr>
              <w:t xml:space="preserve"> район» на официальном сайте в информационно-телекоммуникационной сети Интернет  </w:t>
            </w:r>
            <w:r>
              <w:fldChar w:fldCharType="begin"/>
            </w:r>
            <w:r>
              <w:instrText xml:space="preserve"> HYPERLINK "https://zaigraevo.gosuslugi.ru/"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t>https://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en-US"/>
              </w:rPr>
              <w:t>tarbagatai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t>.gosuslugi.ru/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54" w:type="dxa"/>
          </w:tcPr>
          <w:p w14:paraId="41AE4B45">
            <w:pPr>
              <w:pStyle w:val="11"/>
            </w:pPr>
            <w:r>
              <w:rPr>
                <w:rStyle w:val="10"/>
              </w:rPr>
              <w:t>1 – НПА не размещаются;</w:t>
            </w:r>
          </w:p>
          <w:p w14:paraId="75CBA2C9">
            <w:pPr>
              <w:pStyle w:val="11"/>
              <w:rPr>
                <w:rStyle w:val="10"/>
              </w:rPr>
            </w:pPr>
            <w:r>
              <w:rPr>
                <w:rStyle w:val="10"/>
              </w:rPr>
              <w:t>2 – НПА размещаются</w:t>
            </w:r>
          </w:p>
        </w:tc>
      </w:tr>
      <w:tr w14:paraId="03A4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EF27DA2">
            <w:pPr>
              <w:pStyle w:val="12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718" w:type="dxa"/>
          </w:tcPr>
          <w:p w14:paraId="346C56E9">
            <w:pPr>
              <w:spacing w:after="0" w:line="240" w:lineRule="auto"/>
              <w:rPr>
                <w:rStyle w:val="10"/>
                <w:rFonts w:eastAsiaTheme="minorHAnsi"/>
              </w:rPr>
            </w:pPr>
            <w:r>
              <w:rPr>
                <w:rStyle w:val="10"/>
                <w:rFonts w:eastAsiaTheme="minorHAnsi"/>
              </w:rPr>
              <w:t>Информирование Главы о внутренних документах, которые могут повлечь нарушение АЗ, противоречить АЗ и антимонопольному комплаенсу</w:t>
            </w:r>
          </w:p>
        </w:tc>
        <w:tc>
          <w:tcPr>
            <w:tcW w:w="4854" w:type="dxa"/>
          </w:tcPr>
          <w:p w14:paraId="335B0F5F">
            <w:pPr>
              <w:pStyle w:val="11"/>
            </w:pPr>
            <w:r>
              <w:rPr>
                <w:rStyle w:val="10"/>
              </w:rPr>
              <w:t>0 – внутренние документы не анализируются;</w:t>
            </w:r>
          </w:p>
          <w:p w14:paraId="2F434E17">
            <w:pPr>
              <w:pStyle w:val="11"/>
            </w:pPr>
            <w:r>
              <w:rPr>
                <w:rStyle w:val="10"/>
              </w:rPr>
              <w:t>1 – внутренние документы анализируются, информация доводится до Главы;</w:t>
            </w:r>
          </w:p>
          <w:p w14:paraId="3B8ED4CE">
            <w:pPr>
              <w:pStyle w:val="11"/>
              <w:rPr>
                <w:rStyle w:val="10"/>
              </w:rPr>
            </w:pPr>
            <w:r>
              <w:rPr>
                <w:rStyle w:val="10"/>
              </w:rPr>
              <w:t>2 – внутренние документы анализируются, информация доводится как до Главы, так и до сотрудников организации.</w:t>
            </w:r>
          </w:p>
        </w:tc>
      </w:tr>
      <w:tr w14:paraId="3579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55C12E2">
            <w:pPr>
              <w:pStyle w:val="12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718" w:type="dxa"/>
          </w:tcPr>
          <w:p w14:paraId="7412DC88">
            <w:pPr>
              <w:spacing w:after="0" w:line="240" w:lineRule="auto"/>
              <w:rPr>
                <w:rStyle w:val="10"/>
                <w:rFonts w:eastAsiaTheme="minorHAnsi"/>
              </w:rPr>
            </w:pPr>
            <w:r>
              <w:rPr>
                <w:rStyle w:val="10"/>
                <w:rFonts w:eastAsiaTheme="minorHAnsi"/>
              </w:rPr>
              <w:t>Ознакомление сотрудников с Кодексом этики и служебного поведения муниципальных служащих Администрации МО «</w:t>
            </w:r>
            <w:r>
              <w:rPr>
                <w:rStyle w:val="10"/>
                <w:rFonts w:ascii="Times New Roman"/>
                <w:lang w:val="ru-RU"/>
              </w:rPr>
              <w:t>Тарбагатайский</w:t>
            </w:r>
            <w:r>
              <w:rPr>
                <w:rStyle w:val="10"/>
                <w:rFonts w:eastAsiaTheme="minorHAnsi"/>
              </w:rPr>
              <w:t xml:space="preserve"> район», устранение конфликта интересов в деятельности служащих и структурных подразделений Администрации МО «</w:t>
            </w:r>
            <w:r>
              <w:rPr>
                <w:rStyle w:val="10"/>
                <w:rFonts w:ascii="Times New Roman"/>
                <w:lang w:val="ru-RU"/>
              </w:rPr>
              <w:t>Тарбагатайский</w:t>
            </w:r>
            <w:r>
              <w:rPr>
                <w:rStyle w:val="10"/>
                <w:rFonts w:eastAsiaTheme="minorHAnsi"/>
              </w:rPr>
              <w:t xml:space="preserve"> район», разработка предложений по их исключению</w:t>
            </w:r>
          </w:p>
        </w:tc>
        <w:tc>
          <w:tcPr>
            <w:tcW w:w="4854" w:type="dxa"/>
          </w:tcPr>
          <w:p w14:paraId="2368EEFC">
            <w:pPr>
              <w:pStyle w:val="11"/>
            </w:pPr>
            <w:r>
              <w:rPr>
                <w:rStyle w:val="10"/>
              </w:rPr>
              <w:t>0 – не проводится;</w:t>
            </w:r>
          </w:p>
          <w:p w14:paraId="6489820A">
            <w:pPr>
              <w:pStyle w:val="11"/>
            </w:pPr>
            <w:r>
              <w:rPr>
                <w:rStyle w:val="10"/>
              </w:rPr>
              <w:t>1 – проводится периодически;</w:t>
            </w:r>
          </w:p>
          <w:p w14:paraId="70078373">
            <w:pPr>
              <w:pStyle w:val="11"/>
              <w:rPr>
                <w:rStyle w:val="10"/>
              </w:rPr>
            </w:pPr>
            <w:r>
              <w:rPr>
                <w:rStyle w:val="10"/>
              </w:rPr>
              <w:t>2 – проводится на постоянной основе</w:t>
            </w:r>
          </w:p>
        </w:tc>
      </w:tr>
      <w:tr w14:paraId="5961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642B9FD">
            <w:pPr>
              <w:pStyle w:val="12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718" w:type="dxa"/>
          </w:tcPr>
          <w:p w14:paraId="33BF032B">
            <w:pPr>
              <w:spacing w:after="0" w:line="240" w:lineRule="auto"/>
              <w:rPr>
                <w:rStyle w:val="10"/>
                <w:rFonts w:eastAsiaTheme="minorHAnsi"/>
              </w:rPr>
            </w:pPr>
            <w:r>
              <w:rPr>
                <w:rStyle w:val="10"/>
                <w:rFonts w:eastAsiaTheme="minorHAnsi"/>
              </w:rPr>
              <w:t>Количество нарушений АЗ со стороны Администрации МО «</w:t>
            </w:r>
            <w:r>
              <w:rPr>
                <w:rStyle w:val="10"/>
                <w:rFonts w:ascii="Times New Roman"/>
                <w:lang w:val="ru-RU"/>
              </w:rPr>
              <w:t>Тарбагатайский</w:t>
            </w:r>
            <w:r>
              <w:rPr>
                <w:rStyle w:val="10"/>
                <w:rFonts w:eastAsiaTheme="minorHAnsi"/>
              </w:rPr>
              <w:t xml:space="preserve"> район» по сравнению с предшествующим годом</w:t>
            </w:r>
          </w:p>
        </w:tc>
        <w:tc>
          <w:tcPr>
            <w:tcW w:w="4854" w:type="dxa"/>
          </w:tcPr>
          <w:p w14:paraId="47994769">
            <w:pPr>
              <w:pStyle w:val="11"/>
            </w:pPr>
            <w:r>
              <w:rPr>
                <w:rStyle w:val="10"/>
              </w:rPr>
              <w:t>0 – количество нарушений по сравнению с предшествующим годом увеличилось, осталось на прежнем уровне;</w:t>
            </w:r>
          </w:p>
          <w:p w14:paraId="295E0B76">
            <w:pPr>
              <w:pStyle w:val="11"/>
            </w:pPr>
            <w:r>
              <w:rPr>
                <w:rStyle w:val="10"/>
              </w:rPr>
              <w:t>1 – количество нарушений по сравнению с предшествующим годом снизилось;</w:t>
            </w:r>
          </w:p>
          <w:p w14:paraId="673BCBCF">
            <w:pPr>
              <w:pStyle w:val="11"/>
              <w:rPr>
                <w:rStyle w:val="10"/>
              </w:rPr>
            </w:pPr>
            <w:r>
              <w:rPr>
                <w:rStyle w:val="10"/>
              </w:rPr>
              <w:t>2 – нарушений в отчетном году не было</w:t>
            </w:r>
          </w:p>
        </w:tc>
      </w:tr>
    </w:tbl>
    <w:p w14:paraId="3798E483">
      <w:pPr>
        <w:pStyle w:val="8"/>
        <w:spacing w:line="240" w:lineRule="auto"/>
        <w:ind w:firstLine="0"/>
        <w:rPr>
          <w:rStyle w:val="9"/>
        </w:rPr>
      </w:pPr>
    </w:p>
    <w:p w14:paraId="2ADC599B">
      <w:pPr>
        <w:pStyle w:val="8"/>
        <w:spacing w:line="240" w:lineRule="auto"/>
        <w:ind w:firstLine="0"/>
        <w:rPr>
          <w:rStyle w:val="9"/>
        </w:rPr>
      </w:pPr>
    </w:p>
    <w:p w14:paraId="419376C3">
      <w:pPr>
        <w:pStyle w:val="8"/>
        <w:spacing w:line="240" w:lineRule="auto"/>
        <w:ind w:firstLine="0"/>
        <w:rPr>
          <w:rStyle w:val="9"/>
        </w:rPr>
      </w:pPr>
    </w:p>
    <w:p w14:paraId="1C13C81B">
      <w:pPr>
        <w:pStyle w:val="8"/>
        <w:spacing w:line="240" w:lineRule="auto"/>
        <w:ind w:firstLine="0"/>
      </w:pPr>
      <w:r>
        <w:rPr>
          <w:rStyle w:val="9"/>
        </w:rPr>
        <w:t>*Механизм оценки эффективности антимонопольного комплаенса:</w:t>
      </w:r>
    </w:p>
    <w:p w14:paraId="30E804C3">
      <w:pPr>
        <w:pStyle w:val="8"/>
        <w:numPr>
          <w:ilvl w:val="0"/>
          <w:numId w:val="10"/>
        </w:numPr>
        <w:tabs>
          <w:tab w:val="left" w:pos="978"/>
        </w:tabs>
        <w:spacing w:line="240" w:lineRule="auto"/>
        <w:ind w:firstLine="720"/>
      </w:pPr>
      <w:r>
        <w:rPr>
          <w:rStyle w:val="9"/>
        </w:rPr>
        <w:t>высокий уровень эффективности антимонопольного комплаенса – от 20 до 26 баллов;</w:t>
      </w:r>
    </w:p>
    <w:p w14:paraId="04F4244C">
      <w:pPr>
        <w:pStyle w:val="8"/>
        <w:numPr>
          <w:ilvl w:val="0"/>
          <w:numId w:val="10"/>
        </w:numPr>
        <w:tabs>
          <w:tab w:val="left" w:pos="978"/>
        </w:tabs>
        <w:spacing w:line="240" w:lineRule="auto"/>
        <w:ind w:firstLine="720"/>
      </w:pPr>
      <w:r>
        <w:rPr>
          <w:rStyle w:val="9"/>
        </w:rPr>
        <w:t>средний уровень эффективности антимонопольного комплаенса – от 15 до 19 баллов;</w:t>
      </w:r>
    </w:p>
    <w:p w14:paraId="606C9994">
      <w:pPr>
        <w:pStyle w:val="8"/>
        <w:numPr>
          <w:ilvl w:val="0"/>
          <w:numId w:val="10"/>
        </w:numPr>
        <w:tabs>
          <w:tab w:val="left" w:pos="978"/>
        </w:tabs>
        <w:spacing w:line="240" w:lineRule="auto"/>
        <w:ind w:firstLine="720"/>
      </w:pPr>
      <w:r>
        <w:rPr>
          <w:rStyle w:val="9"/>
        </w:rPr>
        <w:t>низкий уровень эффективности антимонопольного комплаенса – менее 15 баллов.</w:t>
      </w:r>
    </w:p>
    <w:p w14:paraId="76B382F3"/>
    <w:p w14:paraId="447AF714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16F21"/>
    <w:multiLevelType w:val="multilevel"/>
    <w:tmpl w:val="0A516F21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2DB0064"/>
    <w:multiLevelType w:val="multilevel"/>
    <w:tmpl w:val="12DB006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25F67"/>
    <w:multiLevelType w:val="multilevel"/>
    <w:tmpl w:val="22025F67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9C17BF0"/>
    <w:multiLevelType w:val="multilevel"/>
    <w:tmpl w:val="29C17BF0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56733D5A"/>
    <w:multiLevelType w:val="multilevel"/>
    <w:tmpl w:val="56733D5A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67E0440C"/>
    <w:multiLevelType w:val="multilevel"/>
    <w:tmpl w:val="67E0440C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6C0F49E0"/>
    <w:multiLevelType w:val="multilevel"/>
    <w:tmpl w:val="6C0F49E0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71CA358C"/>
    <w:multiLevelType w:val="multilevel"/>
    <w:tmpl w:val="71CA358C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77107924"/>
    <w:multiLevelType w:val="multilevel"/>
    <w:tmpl w:val="77107924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79242757"/>
    <w:multiLevelType w:val="multilevel"/>
    <w:tmpl w:val="79242757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Основной текст (2)"/>
    <w:basedOn w:val="1"/>
    <w:link w:val="7"/>
    <w:qFormat/>
    <w:uiPriority w:val="0"/>
    <w:pPr>
      <w:widowControl w:val="0"/>
      <w:spacing w:after="320" w:line="240" w:lineRule="auto"/>
      <w:ind w:left="9560"/>
      <w:jc w:val="right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7">
    <w:name w:val="Основной текст (2)_"/>
    <w:basedOn w:val="2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8">
    <w:name w:val="Основной текст1"/>
    <w:basedOn w:val="1"/>
    <w:link w:val="9"/>
    <w:qFormat/>
    <w:uiPriority w:val="0"/>
    <w:pPr>
      <w:widowControl w:val="0"/>
      <w:spacing w:after="0" w:line="257" w:lineRule="auto"/>
      <w:ind w:firstLine="350"/>
    </w:pPr>
    <w:rPr>
      <w:rFonts w:ascii="Times New Roman" w:hAnsi="Times New Roman" w:eastAsia="Times New Roman" w:cs="Times New Roman"/>
    </w:rPr>
  </w:style>
  <w:style w:type="character" w:customStyle="1" w:styleId="9">
    <w:name w:val="Основной текст_"/>
    <w:basedOn w:val="2"/>
    <w:link w:val="8"/>
    <w:qFormat/>
    <w:uiPriority w:val="0"/>
    <w:rPr>
      <w:rFonts w:ascii="Times New Roman" w:hAnsi="Times New Roman" w:eastAsia="Times New Roman" w:cs="Times New Roman"/>
    </w:rPr>
  </w:style>
  <w:style w:type="character" w:customStyle="1" w:styleId="10">
    <w:name w:val="Другое_"/>
    <w:basedOn w:val="2"/>
    <w:link w:val="1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11">
    <w:name w:val="Другое"/>
    <w:basedOn w:val="1"/>
    <w:link w:val="10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2025-12-19T00:38:55Z</dcterms:created>
  <dc:creator>123</dc:creator>
  <cp:lastModifiedBy>123</cp:lastModifiedBy>
  <dcterms:modified xsi:type="dcterms:W3CDTF">2025-12-19T00:39:16Z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A1DEE82E4F4E4D1B824BCE2D9C9B63F6_12</vt:lpwstr>
  </property>
</Properties>
</file>